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90" w:rsidRPr="0089437F" w:rsidRDefault="00834A90" w:rsidP="00834A90">
      <w:pPr>
        <w:jc w:val="center"/>
        <w:rPr>
          <w:rFonts w:cs="Tahoma"/>
          <w:sz w:val="24"/>
        </w:rPr>
      </w:pPr>
      <w:bookmarkStart w:id="0" w:name="_GoBack"/>
      <w:bookmarkEnd w:id="0"/>
    </w:p>
    <w:p w:rsidR="00834A90" w:rsidRPr="0089437F" w:rsidRDefault="0089437F" w:rsidP="00834A90">
      <w:pPr>
        <w:jc w:val="center"/>
        <w:rPr>
          <w:rFonts w:cs="Tahoma"/>
          <w:sz w:val="24"/>
        </w:rPr>
      </w:pPr>
      <w:r w:rsidRPr="0089437F">
        <w:rPr>
          <w:noProof/>
          <w:sz w:val="24"/>
          <w:lang w:val="es-ES" w:eastAsia="es-ES"/>
        </w:rPr>
        <w:drawing>
          <wp:inline distT="0" distB="0" distL="0" distR="0" wp14:anchorId="3F5B82C8" wp14:editId="34B506F4">
            <wp:extent cx="1623975" cy="127177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98" cy="12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A90" w:rsidRPr="0089437F" w:rsidRDefault="00834A90" w:rsidP="00834A90">
      <w:pPr>
        <w:jc w:val="center"/>
        <w:rPr>
          <w:rFonts w:cs="Tahoma"/>
          <w:sz w:val="24"/>
        </w:rPr>
      </w:pPr>
    </w:p>
    <w:p w:rsidR="00834A90" w:rsidRPr="0089437F" w:rsidRDefault="00834A90" w:rsidP="00834A90">
      <w:pPr>
        <w:rPr>
          <w:rFonts w:cs="Tahoma"/>
          <w:b/>
          <w:sz w:val="24"/>
        </w:rPr>
      </w:pP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40"/>
          <w:szCs w:val="28"/>
        </w:rPr>
      </w:pPr>
      <w:r w:rsidRPr="0089437F">
        <w:rPr>
          <w:rFonts w:cs="Tahoma"/>
          <w:b/>
          <w:color w:val="002060"/>
          <w:sz w:val="40"/>
          <w:szCs w:val="28"/>
        </w:rPr>
        <w:t xml:space="preserve">Informe </w:t>
      </w:r>
      <w:r w:rsidR="00A7701A" w:rsidRPr="0089437F">
        <w:rPr>
          <w:rFonts w:cs="Tahoma"/>
          <w:b/>
          <w:color w:val="002060"/>
          <w:sz w:val="40"/>
          <w:szCs w:val="28"/>
        </w:rPr>
        <w:t>sobre la ejecución</w:t>
      </w:r>
      <w:r w:rsidRPr="0089437F">
        <w:rPr>
          <w:rFonts w:cs="Tahoma"/>
          <w:b/>
          <w:color w:val="002060"/>
          <w:sz w:val="40"/>
          <w:szCs w:val="28"/>
        </w:rPr>
        <w:t xml:space="preserve"> del </w:t>
      </w:r>
    </w:p>
    <w:p w:rsidR="006F6B69" w:rsidRPr="0089437F" w:rsidRDefault="00834A90" w:rsidP="006F6B69">
      <w:pPr>
        <w:jc w:val="center"/>
        <w:rPr>
          <w:rFonts w:cs="Tahoma"/>
          <w:b/>
          <w:color w:val="002060"/>
          <w:sz w:val="40"/>
          <w:szCs w:val="28"/>
        </w:rPr>
      </w:pPr>
      <w:r w:rsidRPr="0089437F">
        <w:rPr>
          <w:rFonts w:cs="Tahoma"/>
          <w:b/>
          <w:color w:val="002060"/>
          <w:sz w:val="40"/>
          <w:szCs w:val="28"/>
        </w:rPr>
        <w:t xml:space="preserve">Plan Operativo Anual </w:t>
      </w:r>
      <w:r w:rsidR="006F6B69" w:rsidRPr="0089437F">
        <w:rPr>
          <w:rFonts w:cs="Tahoma"/>
          <w:b/>
          <w:color w:val="002060"/>
          <w:sz w:val="40"/>
          <w:szCs w:val="28"/>
        </w:rPr>
        <w:t>–</w:t>
      </w:r>
      <w:r w:rsidRPr="0089437F">
        <w:rPr>
          <w:rFonts w:cs="Tahoma"/>
          <w:b/>
          <w:color w:val="002060"/>
          <w:sz w:val="40"/>
          <w:szCs w:val="28"/>
        </w:rPr>
        <w:t>POA</w:t>
      </w:r>
      <w:r w:rsidR="006F6B69" w:rsidRPr="0089437F">
        <w:rPr>
          <w:rFonts w:cs="Tahoma"/>
          <w:b/>
          <w:color w:val="002060"/>
          <w:sz w:val="40"/>
          <w:szCs w:val="28"/>
        </w:rPr>
        <w:t>-</w:t>
      </w:r>
      <w:r w:rsidRPr="0089437F">
        <w:rPr>
          <w:rFonts w:cs="Tahoma"/>
          <w:b/>
          <w:color w:val="002060"/>
          <w:sz w:val="40"/>
          <w:szCs w:val="28"/>
        </w:rPr>
        <w:t xml:space="preserve">  </w:t>
      </w:r>
    </w:p>
    <w:p w:rsidR="005F649C" w:rsidRDefault="00834A90" w:rsidP="00834A90">
      <w:pPr>
        <w:jc w:val="center"/>
        <w:rPr>
          <w:rFonts w:cs="Tahoma"/>
          <w:b/>
          <w:color w:val="002060"/>
          <w:sz w:val="40"/>
          <w:szCs w:val="28"/>
        </w:rPr>
      </w:pPr>
      <w:r w:rsidRPr="0089437F">
        <w:rPr>
          <w:rFonts w:cs="Tahoma"/>
          <w:b/>
          <w:color w:val="002060"/>
          <w:sz w:val="40"/>
          <w:szCs w:val="28"/>
        </w:rPr>
        <w:t>AÑO 2015</w:t>
      </w:r>
      <w:r w:rsidR="001E0BFA" w:rsidRPr="0089437F">
        <w:rPr>
          <w:rFonts w:cs="Tahoma"/>
          <w:b/>
          <w:color w:val="002060"/>
          <w:sz w:val="40"/>
          <w:szCs w:val="28"/>
        </w:rPr>
        <w:t xml:space="preserve"> </w:t>
      </w:r>
      <w:r w:rsidR="006F6B69" w:rsidRPr="0089437F">
        <w:rPr>
          <w:rFonts w:cs="Tahoma"/>
          <w:b/>
          <w:color w:val="002060"/>
          <w:sz w:val="40"/>
          <w:szCs w:val="28"/>
        </w:rPr>
        <w:t>Trimestre</w:t>
      </w:r>
      <w:r w:rsidRPr="0089437F">
        <w:rPr>
          <w:rFonts w:cs="Tahoma"/>
          <w:b/>
          <w:color w:val="002060"/>
          <w:sz w:val="40"/>
          <w:szCs w:val="28"/>
        </w:rPr>
        <w:t xml:space="preserve"> (</w:t>
      </w:r>
      <w:r w:rsidR="005F649C">
        <w:rPr>
          <w:rFonts w:cs="Tahoma"/>
          <w:b/>
          <w:color w:val="002060"/>
          <w:sz w:val="40"/>
          <w:szCs w:val="28"/>
        </w:rPr>
        <w:t xml:space="preserve">Enero-Marzo / </w:t>
      </w:r>
    </w:p>
    <w:p w:rsidR="00834A90" w:rsidRPr="0089437F" w:rsidRDefault="005F649C" w:rsidP="00834A90">
      <w:pPr>
        <w:jc w:val="center"/>
        <w:rPr>
          <w:rFonts w:cs="Tahoma"/>
          <w:b/>
          <w:color w:val="002060"/>
          <w:sz w:val="40"/>
          <w:szCs w:val="28"/>
        </w:rPr>
      </w:pPr>
      <w:r>
        <w:rPr>
          <w:rFonts w:cs="Tahoma"/>
          <w:b/>
          <w:color w:val="002060"/>
          <w:sz w:val="40"/>
          <w:szCs w:val="28"/>
        </w:rPr>
        <w:t>Abril-Junio / J</w:t>
      </w:r>
      <w:r w:rsidR="006F6B69" w:rsidRPr="0089437F">
        <w:rPr>
          <w:rFonts w:cs="Tahoma"/>
          <w:b/>
          <w:color w:val="002060"/>
          <w:sz w:val="40"/>
          <w:szCs w:val="28"/>
        </w:rPr>
        <w:t>ulio-</w:t>
      </w:r>
      <w:r>
        <w:rPr>
          <w:rFonts w:cs="Tahoma"/>
          <w:b/>
          <w:color w:val="002060"/>
          <w:sz w:val="40"/>
          <w:szCs w:val="28"/>
        </w:rPr>
        <w:t>S</w:t>
      </w:r>
      <w:r w:rsidR="006F6B69" w:rsidRPr="0089437F">
        <w:rPr>
          <w:rFonts w:cs="Tahoma"/>
          <w:b/>
          <w:color w:val="002060"/>
          <w:sz w:val="40"/>
          <w:szCs w:val="28"/>
        </w:rPr>
        <w:t>eptiembre</w:t>
      </w:r>
      <w:r w:rsidR="00834A90" w:rsidRPr="0089437F">
        <w:rPr>
          <w:rFonts w:cs="Tahoma"/>
          <w:b/>
          <w:color w:val="002060"/>
          <w:sz w:val="40"/>
          <w:szCs w:val="28"/>
        </w:rPr>
        <w:t>)</w:t>
      </w: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40"/>
          <w:szCs w:val="28"/>
        </w:rPr>
      </w:pP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  <w:u w:val="thick"/>
        </w:rPr>
      </w:pPr>
    </w:p>
    <w:p w:rsidR="00834A90" w:rsidRPr="0089437F" w:rsidRDefault="00834A90" w:rsidP="00834A90">
      <w:pPr>
        <w:jc w:val="center"/>
        <w:rPr>
          <w:rFonts w:cs="Tahoma"/>
          <w:sz w:val="32"/>
        </w:rPr>
      </w:pP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</w:rPr>
      </w:pPr>
      <w:r w:rsidRPr="0089437F">
        <w:rPr>
          <w:rFonts w:cs="Tahoma"/>
          <w:b/>
          <w:color w:val="002060"/>
          <w:sz w:val="32"/>
        </w:rPr>
        <w:t>Requerimiento estipulado en el procedimiento PR-DPD-02</w:t>
      </w: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</w:rPr>
      </w:pPr>
      <w:r w:rsidRPr="0089437F">
        <w:rPr>
          <w:rFonts w:cs="Tahoma"/>
          <w:b/>
          <w:color w:val="002060"/>
          <w:sz w:val="32"/>
        </w:rPr>
        <w:t xml:space="preserve"> “Seguimiento y control de Planificación Institucional”</w:t>
      </w: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  <w:u w:val="single"/>
        </w:rPr>
      </w:pP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  <w:u w:val="single"/>
        </w:rPr>
      </w:pP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  <w:u w:val="single"/>
        </w:rPr>
      </w:pP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  <w:u w:val="single"/>
        </w:rPr>
      </w:pP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</w:rPr>
      </w:pPr>
      <w:r w:rsidRPr="0089437F">
        <w:rPr>
          <w:rFonts w:cs="Tahoma"/>
          <w:b/>
          <w:color w:val="002060"/>
          <w:sz w:val="32"/>
        </w:rPr>
        <w:t>Elaborado por:</w:t>
      </w: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</w:rPr>
      </w:pPr>
      <w:r w:rsidRPr="0089437F">
        <w:rPr>
          <w:rFonts w:cs="Tahoma"/>
          <w:b/>
          <w:color w:val="002060"/>
          <w:sz w:val="32"/>
        </w:rPr>
        <w:t>Dirección de Planificación y Desarrollo</w:t>
      </w:r>
    </w:p>
    <w:p w:rsidR="00834A90" w:rsidRPr="0089437F" w:rsidRDefault="00834A90" w:rsidP="00834A90">
      <w:pPr>
        <w:jc w:val="center"/>
        <w:rPr>
          <w:rFonts w:cs="Tahoma"/>
          <w:color w:val="002060"/>
          <w:sz w:val="24"/>
          <w:u w:val="single"/>
        </w:rPr>
      </w:pPr>
    </w:p>
    <w:p w:rsidR="00834A90" w:rsidRPr="0089437F" w:rsidRDefault="00834A90" w:rsidP="00834A90">
      <w:pPr>
        <w:jc w:val="center"/>
        <w:rPr>
          <w:rFonts w:cs="Tahoma"/>
          <w:sz w:val="24"/>
        </w:rPr>
      </w:pPr>
    </w:p>
    <w:p w:rsidR="00834A90" w:rsidRPr="0089437F" w:rsidRDefault="00834A90" w:rsidP="0089437F">
      <w:pPr>
        <w:ind w:firstLine="1276"/>
        <w:jc w:val="center"/>
        <w:rPr>
          <w:rFonts w:cs="Tahoma"/>
          <w:sz w:val="24"/>
        </w:rPr>
      </w:pPr>
    </w:p>
    <w:p w:rsidR="00834A90" w:rsidRPr="0089437F" w:rsidRDefault="00834A90" w:rsidP="0089437F">
      <w:pPr>
        <w:ind w:firstLine="1276"/>
        <w:jc w:val="center"/>
        <w:rPr>
          <w:rFonts w:cs="Tahoma"/>
          <w:sz w:val="24"/>
        </w:rPr>
      </w:pPr>
    </w:p>
    <w:p w:rsidR="00834A90" w:rsidRPr="0089437F" w:rsidRDefault="00834A90" w:rsidP="0089437F">
      <w:pPr>
        <w:ind w:firstLine="1276"/>
        <w:jc w:val="center"/>
        <w:rPr>
          <w:rFonts w:cs="Tahoma"/>
          <w:sz w:val="24"/>
        </w:rPr>
      </w:pPr>
    </w:p>
    <w:p w:rsidR="00D03237" w:rsidRPr="0089437F" w:rsidRDefault="00D03237" w:rsidP="0089437F">
      <w:pPr>
        <w:ind w:firstLine="1276"/>
        <w:jc w:val="center"/>
        <w:rPr>
          <w:rFonts w:cs="Tahoma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s-DO" w:eastAsia="en-US"/>
        </w:rPr>
        <w:id w:val="-4288967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34A90" w:rsidRPr="0089437F" w:rsidRDefault="00834A90" w:rsidP="0089437F">
          <w:pPr>
            <w:pStyle w:val="TtulodeTDC"/>
            <w:ind w:left="1276" w:firstLine="1276"/>
            <w:rPr>
              <w:rFonts w:asciiTheme="minorHAnsi" w:hAnsiTheme="minorHAnsi"/>
              <w:sz w:val="36"/>
            </w:rPr>
          </w:pPr>
          <w:r w:rsidRPr="0089437F">
            <w:rPr>
              <w:rFonts w:asciiTheme="minorHAnsi" w:hAnsiTheme="minorHAnsi"/>
              <w:sz w:val="36"/>
            </w:rPr>
            <w:t>Contenido</w:t>
          </w:r>
        </w:p>
        <w:p w:rsidR="00683E19" w:rsidRPr="0089437F" w:rsidRDefault="00834A90" w:rsidP="0089437F">
          <w:pPr>
            <w:pStyle w:val="TDC1"/>
            <w:tabs>
              <w:tab w:val="right" w:leader="dot" w:pos="9440"/>
            </w:tabs>
            <w:ind w:firstLine="1276"/>
            <w:rPr>
              <w:rFonts w:eastAsiaTheme="minorEastAsia"/>
              <w:noProof/>
              <w:sz w:val="24"/>
              <w:lang w:val="es-ES" w:eastAsia="es-ES"/>
            </w:rPr>
          </w:pPr>
          <w:r w:rsidRPr="0089437F">
            <w:rPr>
              <w:sz w:val="24"/>
            </w:rPr>
            <w:fldChar w:fldCharType="begin"/>
          </w:r>
          <w:r w:rsidRPr="0089437F">
            <w:rPr>
              <w:sz w:val="24"/>
            </w:rPr>
            <w:instrText xml:space="preserve"> TOC \o "1-3" \h \z \u </w:instrText>
          </w:r>
          <w:r w:rsidRPr="0089437F">
            <w:rPr>
              <w:sz w:val="24"/>
            </w:rPr>
            <w:fldChar w:fldCharType="separate"/>
          </w:r>
          <w:hyperlink w:anchor="_Toc434914611" w:history="1">
            <w:r w:rsidR="00683E19" w:rsidRPr="0089437F">
              <w:rPr>
                <w:rStyle w:val="Hipervnculo"/>
                <w:rFonts w:cs="Tahoma"/>
                <w:noProof/>
                <w:sz w:val="24"/>
              </w:rPr>
              <w:t>Introducción</w:t>
            </w:r>
            <w:r w:rsidR="00683E19" w:rsidRPr="0089437F">
              <w:rPr>
                <w:noProof/>
                <w:webHidden/>
                <w:sz w:val="24"/>
              </w:rPr>
              <w:tab/>
            </w:r>
            <w:r w:rsidR="00683E19" w:rsidRPr="0089437F">
              <w:rPr>
                <w:noProof/>
                <w:webHidden/>
                <w:sz w:val="24"/>
              </w:rPr>
              <w:fldChar w:fldCharType="begin"/>
            </w:r>
            <w:r w:rsidR="00683E19" w:rsidRPr="0089437F">
              <w:rPr>
                <w:noProof/>
                <w:webHidden/>
                <w:sz w:val="24"/>
              </w:rPr>
              <w:instrText xml:space="preserve"> PAGEREF _Toc434914611 \h </w:instrText>
            </w:r>
            <w:r w:rsidR="00683E19" w:rsidRPr="0089437F">
              <w:rPr>
                <w:noProof/>
                <w:webHidden/>
                <w:sz w:val="24"/>
              </w:rPr>
            </w:r>
            <w:r w:rsidR="00683E19" w:rsidRPr="0089437F">
              <w:rPr>
                <w:noProof/>
                <w:webHidden/>
                <w:sz w:val="24"/>
              </w:rPr>
              <w:fldChar w:fldCharType="separate"/>
            </w:r>
            <w:r w:rsidR="005544AE">
              <w:rPr>
                <w:noProof/>
                <w:webHidden/>
                <w:sz w:val="24"/>
              </w:rPr>
              <w:t>3</w:t>
            </w:r>
            <w:r w:rsidR="00683E19" w:rsidRPr="0089437F">
              <w:rPr>
                <w:noProof/>
                <w:webHidden/>
                <w:sz w:val="24"/>
              </w:rPr>
              <w:fldChar w:fldCharType="end"/>
            </w:r>
          </w:hyperlink>
        </w:p>
        <w:p w:rsidR="00683E19" w:rsidRPr="0089437F" w:rsidRDefault="00DB6E8E" w:rsidP="0089437F">
          <w:pPr>
            <w:pStyle w:val="TDC1"/>
            <w:tabs>
              <w:tab w:val="right" w:leader="dot" w:pos="9440"/>
            </w:tabs>
            <w:ind w:firstLine="1276"/>
            <w:rPr>
              <w:rFonts w:eastAsiaTheme="minorEastAsia"/>
              <w:noProof/>
              <w:sz w:val="24"/>
              <w:lang w:val="es-ES" w:eastAsia="es-ES"/>
            </w:rPr>
          </w:pPr>
          <w:hyperlink w:anchor="_Toc434914612" w:history="1">
            <w:r w:rsidR="00683E19" w:rsidRPr="0089437F">
              <w:rPr>
                <w:rStyle w:val="Hipervnculo"/>
                <w:rFonts w:cs="Tahoma"/>
                <w:noProof/>
                <w:sz w:val="24"/>
              </w:rPr>
              <w:t xml:space="preserve">Ejecución </w:t>
            </w:r>
            <w:r w:rsidR="005F649C">
              <w:rPr>
                <w:rStyle w:val="Hipervnculo"/>
                <w:rFonts w:cs="Tahoma"/>
                <w:noProof/>
                <w:sz w:val="24"/>
              </w:rPr>
              <w:t xml:space="preserve">de los </w:t>
            </w:r>
            <w:r w:rsidR="00683E19" w:rsidRPr="0089437F">
              <w:rPr>
                <w:rStyle w:val="Hipervnculo"/>
                <w:rFonts w:cs="Tahoma"/>
                <w:noProof/>
                <w:sz w:val="24"/>
              </w:rPr>
              <w:t>trimestre</w:t>
            </w:r>
            <w:r w:rsidR="005F649C">
              <w:rPr>
                <w:rStyle w:val="Hipervnculo"/>
                <w:rFonts w:cs="Tahoma"/>
                <w:noProof/>
                <w:sz w:val="24"/>
              </w:rPr>
              <w:t>s 1, 2 y 3</w:t>
            </w:r>
            <w:r w:rsidR="00683E19" w:rsidRPr="0089437F">
              <w:rPr>
                <w:rStyle w:val="Hipervnculo"/>
                <w:rFonts w:cs="Tahoma"/>
                <w:noProof/>
                <w:sz w:val="24"/>
              </w:rPr>
              <w:t xml:space="preserve"> del Plan Operativo Anual (POA) 2015</w:t>
            </w:r>
            <w:r w:rsidR="00683E19" w:rsidRPr="0089437F">
              <w:rPr>
                <w:noProof/>
                <w:webHidden/>
                <w:sz w:val="24"/>
              </w:rPr>
              <w:tab/>
            </w:r>
            <w:r w:rsidR="00683E19" w:rsidRPr="0089437F">
              <w:rPr>
                <w:noProof/>
                <w:webHidden/>
                <w:sz w:val="24"/>
              </w:rPr>
              <w:fldChar w:fldCharType="begin"/>
            </w:r>
            <w:r w:rsidR="00683E19" w:rsidRPr="0089437F">
              <w:rPr>
                <w:noProof/>
                <w:webHidden/>
                <w:sz w:val="24"/>
              </w:rPr>
              <w:instrText xml:space="preserve"> PAGEREF _Toc434914612 \h </w:instrText>
            </w:r>
            <w:r w:rsidR="00683E19" w:rsidRPr="0089437F">
              <w:rPr>
                <w:noProof/>
                <w:webHidden/>
                <w:sz w:val="24"/>
              </w:rPr>
            </w:r>
            <w:r w:rsidR="00683E19" w:rsidRPr="0089437F">
              <w:rPr>
                <w:noProof/>
                <w:webHidden/>
                <w:sz w:val="24"/>
              </w:rPr>
              <w:fldChar w:fldCharType="separate"/>
            </w:r>
            <w:r w:rsidR="005544AE">
              <w:rPr>
                <w:noProof/>
                <w:webHidden/>
                <w:sz w:val="24"/>
              </w:rPr>
              <w:t>5</w:t>
            </w:r>
            <w:r w:rsidR="00683E19" w:rsidRPr="0089437F">
              <w:rPr>
                <w:noProof/>
                <w:webHidden/>
                <w:sz w:val="24"/>
              </w:rPr>
              <w:fldChar w:fldCharType="end"/>
            </w:r>
          </w:hyperlink>
        </w:p>
        <w:p w:rsidR="00683E19" w:rsidRPr="0089437F" w:rsidRDefault="00DB6E8E" w:rsidP="0089437F">
          <w:pPr>
            <w:pStyle w:val="TDC1"/>
            <w:tabs>
              <w:tab w:val="right" w:leader="dot" w:pos="9440"/>
            </w:tabs>
            <w:ind w:firstLine="1276"/>
            <w:rPr>
              <w:rFonts w:eastAsiaTheme="minorEastAsia"/>
              <w:noProof/>
              <w:sz w:val="24"/>
              <w:lang w:val="es-ES" w:eastAsia="es-ES"/>
            </w:rPr>
          </w:pPr>
          <w:hyperlink w:anchor="_Toc434914613" w:history="1">
            <w:r w:rsidR="00683E19" w:rsidRPr="0089437F">
              <w:rPr>
                <w:rStyle w:val="Hipervnculo"/>
                <w:rFonts w:cs="Tahoma"/>
                <w:noProof/>
                <w:sz w:val="24"/>
              </w:rPr>
              <w:t>Observaciones finales</w:t>
            </w:r>
            <w:r w:rsidR="00683E19" w:rsidRPr="0089437F">
              <w:rPr>
                <w:noProof/>
                <w:webHidden/>
                <w:sz w:val="24"/>
              </w:rPr>
              <w:tab/>
            </w:r>
            <w:r w:rsidR="00683E19" w:rsidRPr="0089437F">
              <w:rPr>
                <w:noProof/>
                <w:webHidden/>
                <w:sz w:val="24"/>
              </w:rPr>
              <w:fldChar w:fldCharType="begin"/>
            </w:r>
            <w:r w:rsidR="00683E19" w:rsidRPr="0089437F">
              <w:rPr>
                <w:noProof/>
                <w:webHidden/>
                <w:sz w:val="24"/>
              </w:rPr>
              <w:instrText xml:space="preserve"> PAGEREF _Toc434914613 \h </w:instrText>
            </w:r>
            <w:r w:rsidR="00683E19" w:rsidRPr="0089437F">
              <w:rPr>
                <w:noProof/>
                <w:webHidden/>
                <w:sz w:val="24"/>
              </w:rPr>
            </w:r>
            <w:r w:rsidR="00683E19" w:rsidRPr="0089437F">
              <w:rPr>
                <w:noProof/>
                <w:webHidden/>
                <w:sz w:val="24"/>
              </w:rPr>
              <w:fldChar w:fldCharType="separate"/>
            </w:r>
            <w:r w:rsidR="005544AE">
              <w:rPr>
                <w:noProof/>
                <w:webHidden/>
                <w:sz w:val="24"/>
              </w:rPr>
              <w:t>7</w:t>
            </w:r>
            <w:r w:rsidR="00683E19" w:rsidRPr="0089437F">
              <w:rPr>
                <w:noProof/>
                <w:webHidden/>
                <w:sz w:val="24"/>
              </w:rPr>
              <w:fldChar w:fldCharType="end"/>
            </w:r>
          </w:hyperlink>
        </w:p>
        <w:p w:rsidR="00834A90" w:rsidRPr="0089437F" w:rsidRDefault="00834A90" w:rsidP="0089437F">
          <w:pPr>
            <w:ind w:left="1276" w:firstLine="1276"/>
            <w:rPr>
              <w:sz w:val="24"/>
            </w:rPr>
          </w:pPr>
          <w:r w:rsidRPr="0089437F">
            <w:rPr>
              <w:b/>
              <w:bCs/>
              <w:sz w:val="24"/>
            </w:rPr>
            <w:fldChar w:fldCharType="end"/>
          </w:r>
        </w:p>
      </w:sdtContent>
    </w:sdt>
    <w:p w:rsidR="00834A90" w:rsidRPr="0089437F" w:rsidRDefault="00834A90" w:rsidP="0089437F">
      <w:pPr>
        <w:ind w:left="1276" w:firstLine="1276"/>
        <w:rPr>
          <w:rFonts w:cs="Tahoma"/>
          <w:sz w:val="24"/>
        </w:rPr>
      </w:pPr>
      <w:r w:rsidRPr="0089437F">
        <w:rPr>
          <w:rFonts w:cs="Tahoma"/>
          <w:sz w:val="24"/>
        </w:rPr>
        <w:br w:type="page"/>
      </w:r>
    </w:p>
    <w:p w:rsidR="00834A90" w:rsidRPr="0089437F" w:rsidRDefault="00834A90" w:rsidP="00F076A7">
      <w:pPr>
        <w:pStyle w:val="Ttulo1"/>
        <w:ind w:left="567" w:right="-523"/>
        <w:rPr>
          <w:rFonts w:asciiTheme="minorHAnsi" w:hAnsiTheme="minorHAnsi" w:cs="Tahoma"/>
          <w:sz w:val="36"/>
        </w:rPr>
      </w:pPr>
      <w:bookmarkStart w:id="1" w:name="_Toc434914611"/>
      <w:r w:rsidRPr="0089437F">
        <w:rPr>
          <w:rFonts w:asciiTheme="minorHAnsi" w:hAnsiTheme="minorHAnsi" w:cs="Tahoma"/>
          <w:sz w:val="36"/>
        </w:rPr>
        <w:lastRenderedPageBreak/>
        <w:t>Introducción</w:t>
      </w:r>
      <w:bookmarkEnd w:id="1"/>
    </w:p>
    <w:p w:rsidR="004F6029" w:rsidRPr="0089437F" w:rsidRDefault="004F6029" w:rsidP="0064540A">
      <w:pPr>
        <w:spacing w:line="276" w:lineRule="auto"/>
        <w:ind w:left="567" w:right="-523"/>
        <w:jc w:val="both"/>
        <w:rPr>
          <w:rFonts w:cs="Tahoma"/>
          <w:sz w:val="24"/>
        </w:rPr>
      </w:pPr>
    </w:p>
    <w:p w:rsidR="00834A90" w:rsidRPr="0089437F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89437F">
        <w:rPr>
          <w:rFonts w:cs="Tahoma"/>
          <w:sz w:val="24"/>
        </w:rPr>
        <w:t xml:space="preserve">La Dirección de Planificación y Desarrollo (DPD) de la Administradora de Subsidios Sociales (ADESS) realiza trimestralmente como lo estipula su procedimiento PR-DPD-02 </w:t>
      </w:r>
      <w:r w:rsidR="00A7701A" w:rsidRPr="0089437F">
        <w:rPr>
          <w:rFonts w:cs="Tahoma"/>
          <w:sz w:val="24"/>
        </w:rPr>
        <w:t>“</w:t>
      </w:r>
      <w:r w:rsidRPr="0089437F">
        <w:rPr>
          <w:rFonts w:cs="Tahoma"/>
          <w:sz w:val="24"/>
        </w:rPr>
        <w:t>Seguimiento y control de</w:t>
      </w:r>
      <w:r w:rsidR="00A7701A" w:rsidRPr="0089437F">
        <w:rPr>
          <w:rFonts w:cs="Tahoma"/>
          <w:sz w:val="24"/>
        </w:rPr>
        <w:t xml:space="preserve"> la Planificación Institucional</w:t>
      </w:r>
      <w:r w:rsidRPr="0089437F">
        <w:rPr>
          <w:rFonts w:cs="Tahoma"/>
          <w:sz w:val="24"/>
        </w:rPr>
        <w:t xml:space="preserve">” el </w:t>
      </w:r>
      <w:r w:rsidR="00A7701A" w:rsidRPr="0089437F">
        <w:rPr>
          <w:rFonts w:cs="Tahoma"/>
          <w:sz w:val="24"/>
        </w:rPr>
        <w:t>seguimiento</w:t>
      </w:r>
      <w:r w:rsidRPr="0089437F">
        <w:rPr>
          <w:rFonts w:cs="Tahoma"/>
          <w:sz w:val="24"/>
        </w:rPr>
        <w:t xml:space="preserve"> del Plan Operativo Anual (POA) y redacta el informe que contiene todos los avances de los proyectos </w:t>
      </w:r>
      <w:r w:rsidR="00055E2C" w:rsidRPr="0089437F">
        <w:rPr>
          <w:rFonts w:cs="Tahoma"/>
          <w:sz w:val="24"/>
        </w:rPr>
        <w:t xml:space="preserve">y actividades </w:t>
      </w:r>
      <w:r w:rsidRPr="0089437F">
        <w:rPr>
          <w:rFonts w:cs="Tahoma"/>
          <w:sz w:val="24"/>
        </w:rPr>
        <w:t>que ejecuta cada área de la institución hasta la fecha</w:t>
      </w:r>
      <w:r w:rsidR="00A7701A" w:rsidRPr="0089437F">
        <w:rPr>
          <w:rFonts w:cs="Tahoma"/>
          <w:sz w:val="24"/>
        </w:rPr>
        <w:t>.</w:t>
      </w:r>
    </w:p>
    <w:p w:rsidR="00834A90" w:rsidRPr="0089437F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89437F">
        <w:rPr>
          <w:rFonts w:cs="Tahoma"/>
          <w:sz w:val="24"/>
        </w:rPr>
        <w:t xml:space="preserve">El Plan Operativo Anual </w:t>
      </w:r>
      <w:r w:rsidR="00FB352A" w:rsidRPr="0089437F">
        <w:rPr>
          <w:rFonts w:cs="Tahoma"/>
          <w:sz w:val="24"/>
        </w:rPr>
        <w:t xml:space="preserve">–POA- </w:t>
      </w:r>
      <w:r w:rsidRPr="0089437F">
        <w:rPr>
          <w:rFonts w:cs="Tahoma"/>
          <w:sz w:val="24"/>
        </w:rPr>
        <w:t xml:space="preserve">de la ADESS se formalizo en fecha julio 2015, su monitoreo se realiza a través de una matriz </w:t>
      </w:r>
      <w:r w:rsidR="00055E2C" w:rsidRPr="0089437F">
        <w:rPr>
          <w:rFonts w:cs="Tahoma"/>
          <w:sz w:val="24"/>
        </w:rPr>
        <w:t xml:space="preserve">en </w:t>
      </w:r>
      <w:r w:rsidRPr="0089437F">
        <w:rPr>
          <w:rFonts w:cs="Tahoma"/>
          <w:sz w:val="24"/>
        </w:rPr>
        <w:t>Excel</w:t>
      </w:r>
      <w:r w:rsidR="00FB352A" w:rsidRPr="0089437F">
        <w:rPr>
          <w:rFonts w:cs="Tahoma"/>
          <w:sz w:val="24"/>
        </w:rPr>
        <w:t>, el formulario FO-DPD-03</w:t>
      </w:r>
      <w:r w:rsidRPr="0089437F">
        <w:rPr>
          <w:rFonts w:cs="Tahoma"/>
          <w:sz w:val="24"/>
        </w:rPr>
        <w:t xml:space="preserve">, </w:t>
      </w:r>
      <w:r w:rsidR="00FB352A" w:rsidRPr="0089437F">
        <w:rPr>
          <w:rFonts w:cs="Tahoma"/>
          <w:sz w:val="24"/>
        </w:rPr>
        <w:t xml:space="preserve">el formato es </w:t>
      </w:r>
      <w:r w:rsidRPr="0089437F">
        <w:rPr>
          <w:rFonts w:cs="Tahoma"/>
          <w:sz w:val="24"/>
        </w:rPr>
        <w:t xml:space="preserve">interinstitucional </w:t>
      </w:r>
      <w:r w:rsidR="00FB352A" w:rsidRPr="0089437F">
        <w:rPr>
          <w:rFonts w:cs="Tahoma"/>
          <w:sz w:val="24"/>
        </w:rPr>
        <w:t>y sirve como soporte para el</w:t>
      </w:r>
      <w:r w:rsidRPr="0089437F">
        <w:rPr>
          <w:rFonts w:cs="Tahoma"/>
          <w:sz w:val="24"/>
        </w:rPr>
        <w:t xml:space="preserve"> </w:t>
      </w:r>
      <w:r w:rsidR="00FB352A" w:rsidRPr="0089437F">
        <w:rPr>
          <w:rFonts w:cs="Tahoma"/>
          <w:sz w:val="24"/>
        </w:rPr>
        <w:t xml:space="preserve">seguimiento del </w:t>
      </w:r>
      <w:r w:rsidRPr="0089437F">
        <w:rPr>
          <w:rFonts w:cs="Tahoma"/>
          <w:sz w:val="24"/>
        </w:rPr>
        <w:t>Gabinete de Coordinación de Políticas Sociales (GCPS).</w:t>
      </w:r>
      <w:r w:rsidR="00A7701A" w:rsidRPr="0089437F">
        <w:rPr>
          <w:rFonts w:cs="Tahoma"/>
          <w:sz w:val="24"/>
        </w:rPr>
        <w:t xml:space="preserve"> Esta matriz</w:t>
      </w:r>
      <w:r w:rsidR="00055E2C" w:rsidRPr="0089437F">
        <w:rPr>
          <w:rFonts w:cs="Tahoma"/>
          <w:sz w:val="24"/>
        </w:rPr>
        <w:t xml:space="preserve"> es</w:t>
      </w:r>
      <w:r w:rsidR="00A7701A" w:rsidRPr="0089437F">
        <w:rPr>
          <w:rFonts w:cs="Tahoma"/>
          <w:sz w:val="24"/>
        </w:rPr>
        <w:t xml:space="preserve"> </w:t>
      </w:r>
      <w:r w:rsidRPr="0089437F">
        <w:rPr>
          <w:rFonts w:cs="Tahoma"/>
          <w:sz w:val="24"/>
        </w:rPr>
        <w:t>alimenta</w:t>
      </w:r>
      <w:r w:rsidR="00055E2C" w:rsidRPr="0089437F">
        <w:rPr>
          <w:rFonts w:cs="Tahoma"/>
          <w:sz w:val="24"/>
        </w:rPr>
        <w:t>da</w:t>
      </w:r>
      <w:r w:rsidRPr="0089437F">
        <w:rPr>
          <w:rFonts w:cs="Tahoma"/>
          <w:sz w:val="24"/>
        </w:rPr>
        <w:t xml:space="preserve"> a medida que </w:t>
      </w:r>
      <w:r w:rsidR="00055E2C" w:rsidRPr="0089437F">
        <w:rPr>
          <w:rFonts w:cs="Tahoma"/>
          <w:sz w:val="24"/>
        </w:rPr>
        <w:t xml:space="preserve">se </w:t>
      </w:r>
      <w:r w:rsidRPr="0089437F">
        <w:rPr>
          <w:rFonts w:cs="Tahoma"/>
          <w:sz w:val="24"/>
        </w:rPr>
        <w:t xml:space="preserve">ejecutan las actividades </w:t>
      </w:r>
      <w:r w:rsidR="00055E2C" w:rsidRPr="0089437F">
        <w:rPr>
          <w:rFonts w:cs="Tahoma"/>
          <w:sz w:val="24"/>
        </w:rPr>
        <w:t>y los</w:t>
      </w:r>
      <w:r w:rsidRPr="0089437F">
        <w:rPr>
          <w:rFonts w:cs="Tahoma"/>
          <w:sz w:val="24"/>
        </w:rPr>
        <w:t xml:space="preserve"> proyectos</w:t>
      </w:r>
      <w:r w:rsidR="00055E2C" w:rsidRPr="0089437F">
        <w:rPr>
          <w:rFonts w:cs="Tahoma"/>
          <w:sz w:val="24"/>
        </w:rPr>
        <w:t>,</w:t>
      </w:r>
      <w:r w:rsidRPr="0089437F">
        <w:rPr>
          <w:rFonts w:cs="Tahoma"/>
          <w:sz w:val="24"/>
        </w:rPr>
        <w:t xml:space="preserve"> </w:t>
      </w:r>
      <w:r w:rsidR="00055E2C" w:rsidRPr="0089437F">
        <w:rPr>
          <w:rFonts w:cs="Tahoma"/>
          <w:sz w:val="24"/>
        </w:rPr>
        <w:t>la misma es revisada por la</w:t>
      </w:r>
      <w:r w:rsidR="00A7701A" w:rsidRPr="0089437F">
        <w:rPr>
          <w:rFonts w:cs="Tahoma"/>
          <w:sz w:val="24"/>
        </w:rPr>
        <w:t xml:space="preserve"> Dirección de Planificación y Desarrollo</w:t>
      </w:r>
      <w:r w:rsidRPr="0089437F">
        <w:rPr>
          <w:rFonts w:cs="Tahoma"/>
          <w:sz w:val="24"/>
        </w:rPr>
        <w:t>.</w:t>
      </w:r>
    </w:p>
    <w:p w:rsidR="00834A90" w:rsidRPr="0089437F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89437F">
        <w:rPr>
          <w:rFonts w:cs="Tahoma"/>
          <w:sz w:val="24"/>
        </w:rPr>
        <w:t>El Departamento de Riesgo y Control en fecha 21 de agosto del 2015, mediante el trámite interno DG-RC-Núm.109-2015 remitió a la Dirección de Planificación y Desarrollo el informe de seguimiento a la ejecución del Plan Operativo An</w:t>
      </w:r>
      <w:r w:rsidR="00FB352A" w:rsidRPr="0089437F">
        <w:rPr>
          <w:rFonts w:cs="Tahoma"/>
          <w:sz w:val="24"/>
        </w:rPr>
        <w:t>ual, durante el semestre enero-</w:t>
      </w:r>
      <w:r w:rsidRPr="0089437F">
        <w:rPr>
          <w:rFonts w:cs="Tahoma"/>
          <w:sz w:val="24"/>
        </w:rPr>
        <w:t xml:space="preserve">junio del 2015, en el cual se arrojaron hallazgos referentes al porcentaje de ejecución de los proyectos, aquí se destacan los planificados a ejecutarse en </w:t>
      </w:r>
      <w:r w:rsidR="00055E2C" w:rsidRPr="0089437F">
        <w:rPr>
          <w:rFonts w:cs="Tahoma"/>
          <w:sz w:val="24"/>
        </w:rPr>
        <w:t>los dos primeros</w:t>
      </w:r>
      <w:r w:rsidRPr="0089437F">
        <w:rPr>
          <w:rFonts w:cs="Tahoma"/>
          <w:sz w:val="24"/>
        </w:rPr>
        <w:t xml:space="preserve"> trimestre</w:t>
      </w:r>
      <w:r w:rsidR="00055E2C" w:rsidRPr="0089437F">
        <w:rPr>
          <w:rFonts w:cs="Tahoma"/>
          <w:sz w:val="24"/>
        </w:rPr>
        <w:t>s del año.</w:t>
      </w:r>
      <w:r w:rsidR="00256166" w:rsidRPr="0089437F">
        <w:rPr>
          <w:rFonts w:cs="Tahoma"/>
          <w:sz w:val="24"/>
        </w:rPr>
        <w:t xml:space="preserve"> </w:t>
      </w:r>
      <w:r w:rsidR="00055E2C" w:rsidRPr="0089437F">
        <w:rPr>
          <w:rFonts w:cs="Tahoma"/>
          <w:sz w:val="24"/>
        </w:rPr>
        <w:t xml:space="preserve">En dicho </w:t>
      </w:r>
      <w:r w:rsidRPr="0089437F">
        <w:rPr>
          <w:rFonts w:cs="Tahoma"/>
          <w:sz w:val="24"/>
        </w:rPr>
        <w:t xml:space="preserve">informe de revisión/auditoria </w:t>
      </w:r>
      <w:r w:rsidR="0097771C" w:rsidRPr="0089437F">
        <w:rPr>
          <w:rFonts w:cs="Tahoma"/>
          <w:sz w:val="24"/>
        </w:rPr>
        <w:t xml:space="preserve">al </w:t>
      </w:r>
      <w:r w:rsidRPr="0089437F">
        <w:rPr>
          <w:rFonts w:cs="Tahoma"/>
          <w:sz w:val="24"/>
        </w:rPr>
        <w:t xml:space="preserve">POA 2015, </w:t>
      </w:r>
      <w:r w:rsidR="00055E2C" w:rsidRPr="0089437F">
        <w:rPr>
          <w:rFonts w:cs="Tahoma"/>
          <w:sz w:val="24"/>
        </w:rPr>
        <w:t>se describen actividades y</w:t>
      </w:r>
      <w:r w:rsidRPr="0089437F">
        <w:rPr>
          <w:rFonts w:cs="Tahoma"/>
          <w:sz w:val="24"/>
        </w:rPr>
        <w:t xml:space="preserve"> proyectos que las distintas áreas de la institución están ejecutando y que no </w:t>
      </w:r>
      <w:r w:rsidR="0097771C" w:rsidRPr="0089437F">
        <w:rPr>
          <w:rFonts w:cs="Tahoma"/>
          <w:sz w:val="24"/>
        </w:rPr>
        <w:t>están</w:t>
      </w:r>
      <w:r w:rsidRPr="0089437F">
        <w:rPr>
          <w:rFonts w:cs="Tahoma"/>
          <w:sz w:val="24"/>
        </w:rPr>
        <w:t xml:space="preserve"> incluidos en </w:t>
      </w:r>
      <w:r w:rsidR="0097771C" w:rsidRPr="0089437F">
        <w:rPr>
          <w:rFonts w:cs="Tahoma"/>
          <w:sz w:val="24"/>
        </w:rPr>
        <w:t>el</w:t>
      </w:r>
      <w:r w:rsidRPr="0089437F">
        <w:rPr>
          <w:rFonts w:cs="Tahoma"/>
          <w:sz w:val="24"/>
        </w:rPr>
        <w:t xml:space="preserve"> POA, </w:t>
      </w:r>
      <w:r w:rsidR="00055E2C" w:rsidRPr="0089437F">
        <w:rPr>
          <w:rFonts w:cs="Tahoma"/>
          <w:sz w:val="24"/>
        </w:rPr>
        <w:t>lo cual está en total violación al procedimiento de planificación institucional. La Dirección de Planificación y Desarrollo deberá realizar el</w:t>
      </w:r>
      <w:r w:rsidRPr="0089437F">
        <w:rPr>
          <w:rFonts w:cs="Tahoma"/>
          <w:sz w:val="24"/>
        </w:rPr>
        <w:t xml:space="preserve"> levantamiento de información </w:t>
      </w:r>
      <w:r w:rsidR="00055E2C" w:rsidRPr="0089437F">
        <w:rPr>
          <w:rFonts w:cs="Tahoma"/>
          <w:sz w:val="24"/>
        </w:rPr>
        <w:t xml:space="preserve">sobre esta situación, para </w:t>
      </w:r>
      <w:r w:rsidR="003410F8" w:rsidRPr="0089437F">
        <w:rPr>
          <w:rFonts w:cs="Tahoma"/>
          <w:sz w:val="24"/>
        </w:rPr>
        <w:t>documentar</w:t>
      </w:r>
      <w:r w:rsidR="00055E2C" w:rsidRPr="0089437F">
        <w:rPr>
          <w:rFonts w:cs="Tahoma"/>
          <w:sz w:val="24"/>
        </w:rPr>
        <w:t xml:space="preserve"> dichas acciones</w:t>
      </w:r>
      <w:r w:rsidR="003410F8" w:rsidRPr="0089437F">
        <w:rPr>
          <w:rFonts w:cs="Tahoma"/>
          <w:sz w:val="24"/>
        </w:rPr>
        <w:t xml:space="preserve">, de las cuales una parte ya ha sido incluida </w:t>
      </w:r>
      <w:r w:rsidR="00055E2C" w:rsidRPr="0089437F">
        <w:rPr>
          <w:rFonts w:cs="Tahoma"/>
          <w:sz w:val="24"/>
        </w:rPr>
        <w:t xml:space="preserve">en el POA y </w:t>
      </w:r>
      <w:r w:rsidR="003410F8" w:rsidRPr="0089437F">
        <w:rPr>
          <w:rFonts w:cs="Tahoma"/>
          <w:sz w:val="24"/>
        </w:rPr>
        <w:t xml:space="preserve">posteriormente </w:t>
      </w:r>
      <w:r w:rsidR="00055E2C" w:rsidRPr="0089437F">
        <w:rPr>
          <w:rFonts w:cs="Tahoma"/>
          <w:sz w:val="24"/>
        </w:rPr>
        <w:t>elaborar los informes que correspondan</w:t>
      </w:r>
      <w:r w:rsidRPr="0089437F">
        <w:rPr>
          <w:rFonts w:cs="Tahoma"/>
          <w:sz w:val="24"/>
        </w:rPr>
        <w:t>.</w:t>
      </w:r>
    </w:p>
    <w:p w:rsidR="00A7701A" w:rsidRPr="0089437F" w:rsidRDefault="00A7701A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89437F">
        <w:rPr>
          <w:rFonts w:cs="Tahoma"/>
          <w:sz w:val="24"/>
        </w:rPr>
        <w:t>En el proceso de mejora continua y fruto de un benchmarking realizado a varias instituciones públicas como</w:t>
      </w:r>
      <w:r w:rsidR="00055E2C" w:rsidRPr="0089437F">
        <w:rPr>
          <w:rFonts w:cs="Tahoma"/>
          <w:sz w:val="24"/>
        </w:rPr>
        <w:t xml:space="preserve"> son</w:t>
      </w:r>
      <w:r w:rsidRPr="0089437F">
        <w:rPr>
          <w:rFonts w:cs="Tahoma"/>
          <w:sz w:val="24"/>
        </w:rPr>
        <w:t xml:space="preserve"> el Programa </w:t>
      </w:r>
      <w:r w:rsidR="00055E2C" w:rsidRPr="0089437F">
        <w:rPr>
          <w:rFonts w:cs="Tahoma"/>
          <w:sz w:val="24"/>
        </w:rPr>
        <w:t xml:space="preserve">Progresando con </w:t>
      </w:r>
      <w:r w:rsidRPr="0089437F">
        <w:rPr>
          <w:rFonts w:cs="Tahoma"/>
          <w:sz w:val="24"/>
        </w:rPr>
        <w:t>Solidaridad y el Instituto Dominicano de Aviación Civil (IDAC)</w:t>
      </w:r>
      <w:r w:rsidR="0097771C" w:rsidRPr="0089437F">
        <w:rPr>
          <w:rFonts w:cs="Tahoma"/>
          <w:sz w:val="24"/>
        </w:rPr>
        <w:t>,</w:t>
      </w:r>
      <w:r w:rsidRPr="0089437F">
        <w:rPr>
          <w:rFonts w:cs="Tahoma"/>
          <w:sz w:val="24"/>
        </w:rPr>
        <w:t xml:space="preserve"> la Adess </w:t>
      </w:r>
      <w:r w:rsidR="0097771C" w:rsidRPr="0089437F">
        <w:rPr>
          <w:rFonts w:cs="Tahoma"/>
          <w:sz w:val="24"/>
        </w:rPr>
        <w:t xml:space="preserve">a través de su Dirección de Tecnología de la Información desarrollo e </w:t>
      </w:r>
      <w:r w:rsidRPr="0089437F">
        <w:rPr>
          <w:rFonts w:cs="Tahoma"/>
          <w:sz w:val="24"/>
        </w:rPr>
        <w:t xml:space="preserve">implemento una herramienta tecnología </w:t>
      </w:r>
      <w:r w:rsidR="0097771C" w:rsidRPr="0089437F">
        <w:rPr>
          <w:rFonts w:cs="Tahoma"/>
          <w:sz w:val="24"/>
        </w:rPr>
        <w:t>(AdessCloud) para facilitar y automatizar</w:t>
      </w:r>
      <w:r w:rsidRPr="0089437F">
        <w:rPr>
          <w:rFonts w:cs="Tahoma"/>
          <w:sz w:val="24"/>
        </w:rPr>
        <w:t xml:space="preserve"> el monitoreo de la planificación y </w:t>
      </w:r>
      <w:r w:rsidR="0097771C" w:rsidRPr="0089437F">
        <w:rPr>
          <w:rFonts w:cs="Tahoma"/>
          <w:sz w:val="24"/>
        </w:rPr>
        <w:t>otros</w:t>
      </w:r>
      <w:r w:rsidRPr="0089437F">
        <w:rPr>
          <w:rFonts w:cs="Tahoma"/>
          <w:sz w:val="24"/>
        </w:rPr>
        <w:t xml:space="preserve"> procesos, lo cual complementa </w:t>
      </w:r>
      <w:r w:rsidR="0097771C" w:rsidRPr="0089437F">
        <w:rPr>
          <w:rFonts w:cs="Tahoma"/>
          <w:sz w:val="24"/>
        </w:rPr>
        <w:t xml:space="preserve">el uso de </w:t>
      </w:r>
      <w:r w:rsidRPr="0089437F">
        <w:rPr>
          <w:rFonts w:cs="Tahoma"/>
          <w:sz w:val="24"/>
        </w:rPr>
        <w:t xml:space="preserve">la matriz FO-DPD-03. </w:t>
      </w:r>
    </w:p>
    <w:p w:rsidR="0064540A" w:rsidRPr="0089437F" w:rsidRDefault="0097771C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89437F">
        <w:rPr>
          <w:rFonts w:cs="Tahoma"/>
          <w:sz w:val="24"/>
        </w:rPr>
        <w:t xml:space="preserve">Previamente la entidad utilizaba la herramienta </w:t>
      </w:r>
      <w:r w:rsidR="003410F8" w:rsidRPr="0089437F">
        <w:rPr>
          <w:rFonts w:cs="Tahoma"/>
          <w:sz w:val="24"/>
        </w:rPr>
        <w:t>Microsoft</w:t>
      </w:r>
      <w:r w:rsidRPr="0089437F">
        <w:rPr>
          <w:rFonts w:cs="Tahoma"/>
          <w:sz w:val="24"/>
        </w:rPr>
        <w:t xml:space="preserve"> Project para la planificación y seguimiento de la planificación, sin embargo</w:t>
      </w:r>
      <w:r w:rsidR="003410F8" w:rsidRPr="0089437F">
        <w:rPr>
          <w:rFonts w:cs="Tahoma"/>
          <w:sz w:val="24"/>
        </w:rPr>
        <w:t>,</w:t>
      </w:r>
      <w:r w:rsidRPr="0089437F">
        <w:rPr>
          <w:rFonts w:cs="Tahoma"/>
          <w:sz w:val="24"/>
        </w:rPr>
        <w:t xml:space="preserve"> dentro del proceso de mejora </w:t>
      </w:r>
      <w:r w:rsidR="003410F8" w:rsidRPr="0089437F">
        <w:rPr>
          <w:rFonts w:cs="Tahoma"/>
          <w:sz w:val="24"/>
        </w:rPr>
        <w:t>continua</w:t>
      </w:r>
      <w:r w:rsidRPr="0089437F">
        <w:rPr>
          <w:rFonts w:cs="Tahoma"/>
          <w:sz w:val="24"/>
        </w:rPr>
        <w:t xml:space="preserve"> y adaptándose a las necesidades institucionales, se </w:t>
      </w:r>
      <w:r w:rsidR="003410F8" w:rsidRPr="0089437F">
        <w:rPr>
          <w:rFonts w:cs="Tahoma"/>
          <w:sz w:val="24"/>
        </w:rPr>
        <w:t>adoptó</w:t>
      </w:r>
      <w:r w:rsidRPr="0089437F">
        <w:rPr>
          <w:rFonts w:cs="Tahoma"/>
          <w:sz w:val="24"/>
        </w:rPr>
        <w:t xml:space="preserve"> </w:t>
      </w:r>
      <w:r w:rsidR="003410F8" w:rsidRPr="0089437F">
        <w:rPr>
          <w:rFonts w:cs="Tahoma"/>
          <w:sz w:val="24"/>
        </w:rPr>
        <w:t>la matriz en Excel FO-DPD-03</w:t>
      </w:r>
      <w:r w:rsidRPr="0089437F">
        <w:rPr>
          <w:rFonts w:cs="Tahoma"/>
          <w:sz w:val="24"/>
        </w:rPr>
        <w:t xml:space="preserve">. </w:t>
      </w:r>
    </w:p>
    <w:p w:rsidR="00DE4E4D" w:rsidRPr="0089437F" w:rsidRDefault="00DE4E4D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89437F">
        <w:rPr>
          <w:rFonts w:cs="Tahoma"/>
          <w:sz w:val="24"/>
        </w:rPr>
        <w:t xml:space="preserve">Como parte del proceso de migración de los datos contenidos en el POA 2015 </w:t>
      </w:r>
      <w:r w:rsidR="003410F8" w:rsidRPr="0089437F">
        <w:rPr>
          <w:rFonts w:cs="Tahoma"/>
          <w:sz w:val="24"/>
        </w:rPr>
        <w:t>de</w:t>
      </w:r>
      <w:r w:rsidRPr="0089437F">
        <w:rPr>
          <w:rFonts w:cs="Tahoma"/>
          <w:sz w:val="24"/>
        </w:rPr>
        <w:t xml:space="preserve"> la herramienta Microsoft Project a la matriz en Excel y luego al software AdessCloud, el cronograma de las actividades fue ajustado para la obtención de los porcentajes de ejecución y definir las actividades </w:t>
      </w:r>
      <w:r w:rsidRPr="0089437F">
        <w:rPr>
          <w:rFonts w:cs="Tahoma"/>
          <w:sz w:val="24"/>
        </w:rPr>
        <w:lastRenderedPageBreak/>
        <w:t xml:space="preserve">de manera macro. Esta </w:t>
      </w:r>
      <w:r w:rsidR="00127AC1" w:rsidRPr="0089437F">
        <w:rPr>
          <w:rFonts w:cs="Tahoma"/>
          <w:sz w:val="24"/>
        </w:rPr>
        <w:t xml:space="preserve">nueva metodología y sus </w:t>
      </w:r>
      <w:r w:rsidRPr="0089437F">
        <w:rPr>
          <w:rFonts w:cs="Tahoma"/>
          <w:sz w:val="24"/>
        </w:rPr>
        <w:t>herramienta</w:t>
      </w:r>
      <w:r w:rsidR="00127AC1" w:rsidRPr="0089437F">
        <w:rPr>
          <w:rFonts w:cs="Tahoma"/>
          <w:sz w:val="24"/>
        </w:rPr>
        <w:t>s</w:t>
      </w:r>
      <w:r w:rsidRPr="0089437F">
        <w:rPr>
          <w:rFonts w:cs="Tahoma"/>
          <w:sz w:val="24"/>
        </w:rPr>
        <w:t xml:space="preserve"> se </w:t>
      </w:r>
      <w:r w:rsidR="00127AC1" w:rsidRPr="0089437F">
        <w:rPr>
          <w:rFonts w:cs="Tahoma"/>
          <w:sz w:val="24"/>
        </w:rPr>
        <w:t>están</w:t>
      </w:r>
      <w:r w:rsidRPr="0089437F">
        <w:rPr>
          <w:rFonts w:cs="Tahoma"/>
          <w:sz w:val="24"/>
        </w:rPr>
        <w:t xml:space="preserve"> implementando</w:t>
      </w:r>
      <w:r w:rsidR="00127AC1" w:rsidRPr="0089437F">
        <w:rPr>
          <w:rFonts w:cs="Tahoma"/>
          <w:sz w:val="24"/>
        </w:rPr>
        <w:t xml:space="preserve"> y los ajustes pertinentes se realizan a medida que se presentan. </w:t>
      </w:r>
    </w:p>
    <w:p w:rsidR="00FB352A" w:rsidRPr="0089437F" w:rsidRDefault="009241B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89437F">
        <w:rPr>
          <w:rFonts w:cs="Tahoma"/>
          <w:sz w:val="24"/>
        </w:rPr>
        <w:t xml:space="preserve">El presente informe </w:t>
      </w:r>
      <w:r w:rsidR="00FB352A" w:rsidRPr="0089437F">
        <w:rPr>
          <w:rFonts w:cs="Tahoma"/>
          <w:sz w:val="24"/>
        </w:rPr>
        <w:t>expone</w:t>
      </w:r>
      <w:r w:rsidRPr="0089437F">
        <w:rPr>
          <w:rFonts w:cs="Tahoma"/>
          <w:sz w:val="24"/>
        </w:rPr>
        <w:t xml:space="preserve"> los resultados de los dos trimestres precedentes adecuando las actividades y los porcentajes de ejecución acorde a las tareas realizadas, a diferencia de cómo se plasmó en el inicio de la implementación de la herramienta debido a que solo se colocaron </w:t>
      </w:r>
      <w:r w:rsidR="00FB352A" w:rsidRPr="0089437F">
        <w:rPr>
          <w:rFonts w:cs="Tahoma"/>
          <w:sz w:val="24"/>
        </w:rPr>
        <w:t>metas en los trimestres donde finalizaban las actividades, lo cual creo una discrepancia en la información del porcentaje de ejecución</w:t>
      </w:r>
      <w:r w:rsidR="00511D70" w:rsidRPr="0089437F">
        <w:rPr>
          <w:rFonts w:cs="Tahoma"/>
          <w:sz w:val="24"/>
        </w:rPr>
        <w:t xml:space="preserve"> de los informes anteriores propios del área y del Departamento de Riesgo y Control</w:t>
      </w:r>
      <w:r w:rsidR="00FB352A" w:rsidRPr="0089437F">
        <w:rPr>
          <w:rFonts w:cs="Tahoma"/>
          <w:sz w:val="24"/>
        </w:rPr>
        <w:t xml:space="preserve">. </w:t>
      </w:r>
    </w:p>
    <w:p w:rsidR="0089437F" w:rsidRPr="0089437F" w:rsidRDefault="0089437F" w:rsidP="0089437F">
      <w:pPr>
        <w:ind w:left="567" w:right="-523"/>
        <w:rPr>
          <w:rFonts w:cs="Tahoma"/>
          <w:sz w:val="24"/>
        </w:rPr>
      </w:pPr>
    </w:p>
    <w:p w:rsidR="0089437F" w:rsidRDefault="0089437F">
      <w:pPr>
        <w:rPr>
          <w:rFonts w:eastAsiaTheme="majorEastAsia" w:cs="Tahoma"/>
          <w:color w:val="2E74B5" w:themeColor="accent1" w:themeShade="BF"/>
          <w:sz w:val="36"/>
          <w:szCs w:val="32"/>
        </w:rPr>
      </w:pPr>
      <w:bookmarkStart w:id="2" w:name="_Toc434914612"/>
      <w:r>
        <w:rPr>
          <w:rFonts w:cs="Tahoma"/>
          <w:sz w:val="36"/>
        </w:rPr>
        <w:br w:type="page"/>
      </w:r>
    </w:p>
    <w:bookmarkEnd w:id="2"/>
    <w:p w:rsidR="00834A90" w:rsidRPr="0089437F" w:rsidRDefault="005F649C" w:rsidP="00F076A7">
      <w:pPr>
        <w:pStyle w:val="Ttulo1"/>
        <w:ind w:left="567" w:right="-523"/>
        <w:rPr>
          <w:rFonts w:asciiTheme="minorHAnsi" w:hAnsiTheme="minorHAnsi" w:cs="Tahoma"/>
          <w:sz w:val="36"/>
        </w:rPr>
      </w:pPr>
      <w:r w:rsidRPr="005F649C">
        <w:rPr>
          <w:rFonts w:asciiTheme="minorHAnsi" w:hAnsiTheme="minorHAnsi" w:cs="Tahoma"/>
          <w:sz w:val="36"/>
        </w:rPr>
        <w:lastRenderedPageBreak/>
        <w:t>Ejecución de los trimestres 1, 2 y 3 del Plan Operativo Anual (POA) 2015</w:t>
      </w:r>
      <w:r w:rsidR="00834A90" w:rsidRPr="0089437F">
        <w:rPr>
          <w:rFonts w:asciiTheme="minorHAnsi" w:hAnsiTheme="minorHAnsi" w:cs="Tahoma"/>
          <w:sz w:val="36"/>
        </w:rPr>
        <w:t xml:space="preserve"> </w:t>
      </w:r>
    </w:p>
    <w:p w:rsidR="00834A90" w:rsidRPr="0089437F" w:rsidRDefault="00834A90" w:rsidP="00F076A7">
      <w:pPr>
        <w:ind w:left="567" w:right="-523"/>
        <w:rPr>
          <w:sz w:val="24"/>
        </w:rPr>
      </w:pPr>
    </w:p>
    <w:p w:rsidR="00834A90" w:rsidRPr="0089437F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89437F">
        <w:rPr>
          <w:rFonts w:cs="Tahoma"/>
          <w:sz w:val="24"/>
        </w:rPr>
        <w:t>El seguimiento</w:t>
      </w:r>
      <w:r w:rsidR="00A7701A" w:rsidRPr="0089437F">
        <w:rPr>
          <w:rFonts w:cs="Tahoma"/>
          <w:sz w:val="24"/>
        </w:rPr>
        <w:t xml:space="preserve"> </w:t>
      </w:r>
      <w:r w:rsidRPr="0089437F">
        <w:rPr>
          <w:rFonts w:cs="Tahoma"/>
          <w:sz w:val="24"/>
        </w:rPr>
        <w:t>a la</w:t>
      </w:r>
      <w:r w:rsidR="00A7701A" w:rsidRPr="0089437F">
        <w:rPr>
          <w:rFonts w:cs="Tahoma"/>
          <w:sz w:val="24"/>
        </w:rPr>
        <w:t xml:space="preserve"> ejecución del POA actualmente </w:t>
      </w:r>
      <w:r w:rsidRPr="0089437F">
        <w:rPr>
          <w:rFonts w:cs="Tahoma"/>
          <w:sz w:val="24"/>
        </w:rPr>
        <w:t>se está rea</w:t>
      </w:r>
      <w:r w:rsidR="00A7701A" w:rsidRPr="0089437F">
        <w:rPr>
          <w:rFonts w:cs="Tahoma"/>
          <w:sz w:val="24"/>
        </w:rPr>
        <w:t xml:space="preserve">lizando a través de una matriz </w:t>
      </w:r>
      <w:r w:rsidRPr="0089437F">
        <w:rPr>
          <w:rFonts w:cs="Tahoma"/>
          <w:sz w:val="24"/>
        </w:rPr>
        <w:t>de uso interinstitucional del Gabinete de Coordinación de Políticas Sociales (GCPS)</w:t>
      </w:r>
      <w:r w:rsidR="00FB352A" w:rsidRPr="0089437F">
        <w:rPr>
          <w:rFonts w:cs="Tahoma"/>
          <w:sz w:val="24"/>
        </w:rPr>
        <w:t xml:space="preserve">, dicha matriz </w:t>
      </w:r>
      <w:r w:rsidR="00657963" w:rsidRPr="0089437F">
        <w:rPr>
          <w:rFonts w:cs="Tahoma"/>
          <w:sz w:val="24"/>
        </w:rPr>
        <w:t>está</w:t>
      </w:r>
      <w:r w:rsidRPr="0089437F">
        <w:rPr>
          <w:rFonts w:cs="Tahoma"/>
          <w:sz w:val="24"/>
        </w:rPr>
        <w:t xml:space="preserve"> alineada</w:t>
      </w:r>
      <w:r w:rsidRPr="0089437F">
        <w:rPr>
          <w:sz w:val="24"/>
        </w:rPr>
        <w:t xml:space="preserve"> </w:t>
      </w:r>
      <w:r w:rsidRPr="0089437F">
        <w:rPr>
          <w:rFonts w:cs="Tahoma"/>
          <w:sz w:val="24"/>
        </w:rPr>
        <w:t>a la Estrategia Nacional de Desarrollo (END), eje estratégico II. Fortalecimiento Institucional y Objetivos estratégicos II.1 Gestión eficiente y de calidad/ II. 2Gestion de servicio a las familias</w:t>
      </w:r>
      <w:r w:rsidR="009241B0" w:rsidRPr="0089437F">
        <w:rPr>
          <w:rFonts w:cs="Tahoma"/>
          <w:sz w:val="24"/>
        </w:rPr>
        <w:t>,</w:t>
      </w:r>
      <w:r w:rsidRPr="0089437F">
        <w:rPr>
          <w:rFonts w:cs="Tahoma"/>
          <w:sz w:val="24"/>
        </w:rPr>
        <w:t xml:space="preserve"> objetivos </w:t>
      </w:r>
      <w:r w:rsidR="009241B0" w:rsidRPr="0089437F">
        <w:rPr>
          <w:rFonts w:cs="Tahoma"/>
          <w:sz w:val="24"/>
        </w:rPr>
        <w:t>que impactan con</w:t>
      </w:r>
      <w:r w:rsidRPr="0089437F">
        <w:rPr>
          <w:rFonts w:cs="Tahoma"/>
          <w:sz w:val="24"/>
        </w:rPr>
        <w:t xml:space="preserve"> </w:t>
      </w:r>
      <w:r w:rsidR="009241B0" w:rsidRPr="0089437F">
        <w:rPr>
          <w:rFonts w:cs="Tahoma"/>
          <w:sz w:val="24"/>
        </w:rPr>
        <w:t xml:space="preserve">el desarrollo de </w:t>
      </w:r>
      <w:r w:rsidRPr="0089437F">
        <w:rPr>
          <w:rFonts w:cs="Tahoma"/>
          <w:sz w:val="24"/>
        </w:rPr>
        <w:t xml:space="preserve">la Estrategia Nacional de Desarrollo (END). </w:t>
      </w:r>
    </w:p>
    <w:p w:rsidR="00834A90" w:rsidRPr="0089437F" w:rsidRDefault="00660DEF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89437F">
        <w:rPr>
          <w:rFonts w:cs="Tahoma"/>
          <w:sz w:val="24"/>
        </w:rPr>
        <w:t>Además, s</w:t>
      </w:r>
      <w:r w:rsidR="0053457E" w:rsidRPr="0089437F">
        <w:rPr>
          <w:rFonts w:cs="Tahoma"/>
          <w:sz w:val="24"/>
        </w:rPr>
        <w:t xml:space="preserve">e está utilizando la herramienta de AdessCloud, un software libre diseñado en la </w:t>
      </w:r>
      <w:r w:rsidRPr="0089437F">
        <w:rPr>
          <w:rFonts w:cs="Tahoma"/>
          <w:sz w:val="24"/>
        </w:rPr>
        <w:t>Dirección</w:t>
      </w:r>
      <w:r w:rsidR="0053457E" w:rsidRPr="0089437F">
        <w:rPr>
          <w:rFonts w:cs="Tahoma"/>
          <w:sz w:val="24"/>
        </w:rPr>
        <w:t xml:space="preserve"> de </w:t>
      </w:r>
      <w:r w:rsidRPr="0089437F">
        <w:rPr>
          <w:rFonts w:cs="Tahoma"/>
          <w:sz w:val="24"/>
        </w:rPr>
        <w:t>Tecnología</w:t>
      </w:r>
      <w:r w:rsidR="0053457E" w:rsidRPr="0089437F">
        <w:rPr>
          <w:rFonts w:cs="Tahoma"/>
          <w:sz w:val="24"/>
        </w:rPr>
        <w:t xml:space="preserve"> de la </w:t>
      </w:r>
      <w:r w:rsidRPr="0089437F">
        <w:rPr>
          <w:rFonts w:cs="Tahoma"/>
          <w:sz w:val="24"/>
        </w:rPr>
        <w:t>I</w:t>
      </w:r>
      <w:r w:rsidR="0053457E" w:rsidRPr="0089437F">
        <w:rPr>
          <w:rFonts w:cs="Tahoma"/>
          <w:sz w:val="24"/>
        </w:rPr>
        <w:t>nformación</w:t>
      </w:r>
      <w:r w:rsidRPr="0089437F">
        <w:rPr>
          <w:rFonts w:cs="Tahoma"/>
          <w:sz w:val="24"/>
        </w:rPr>
        <w:t>, dicha herramienta apoya el seguimiento y nos encamina en la sistematización del monitoreo y control de la planificación institucional. Todo esto nos permite tener un sistema de semaforización el cual nos informa cuales proyectos están en atrasos y así tomar las medidas correctivas acorde a las políticas del procedimiento correspondiente. Los proyectos que presentan su ejecución</w:t>
      </w:r>
      <w:r w:rsidR="008A63F0" w:rsidRPr="0089437F">
        <w:rPr>
          <w:rFonts w:cs="Tahoma"/>
          <w:sz w:val="24"/>
        </w:rPr>
        <w:t xml:space="preserve"> completa</w:t>
      </w:r>
      <w:r w:rsidRPr="0089437F">
        <w:rPr>
          <w:rFonts w:cs="Tahoma"/>
          <w:sz w:val="24"/>
        </w:rPr>
        <w:t xml:space="preserve"> se visualizan en color verde y los que están en proceso en color amarillo</w:t>
      </w:r>
      <w:r w:rsidR="009241B0" w:rsidRPr="0089437F">
        <w:rPr>
          <w:rFonts w:cs="Tahoma"/>
          <w:sz w:val="24"/>
        </w:rPr>
        <w:t xml:space="preserve"> en el porcentaje acumulado</w:t>
      </w:r>
      <w:r w:rsidRPr="0089437F">
        <w:rPr>
          <w:rFonts w:cs="Tahoma"/>
          <w:sz w:val="24"/>
        </w:rPr>
        <w:t xml:space="preserve">. </w:t>
      </w:r>
    </w:p>
    <w:p w:rsidR="00657963" w:rsidRPr="0089437F" w:rsidRDefault="00EA5811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89437F">
        <w:rPr>
          <w:rFonts w:cs="Tahoma"/>
          <w:sz w:val="24"/>
        </w:rPr>
        <w:t>El desarrollo propio de la planificación de cada proyecto, actividad y tarea ha requerido una reformulación en el cronograma y</w:t>
      </w:r>
      <w:r w:rsidR="001E0BFA" w:rsidRPr="0089437F">
        <w:rPr>
          <w:rFonts w:cs="Tahoma"/>
          <w:sz w:val="24"/>
        </w:rPr>
        <w:t xml:space="preserve"> como resultado</w:t>
      </w:r>
      <w:r w:rsidRPr="0089437F">
        <w:rPr>
          <w:rFonts w:cs="Tahoma"/>
          <w:sz w:val="24"/>
        </w:rPr>
        <w:t xml:space="preserve"> varios proyectos </w:t>
      </w:r>
      <w:r w:rsidR="001E0BFA" w:rsidRPr="0089437F">
        <w:rPr>
          <w:rFonts w:cs="Tahoma"/>
          <w:sz w:val="24"/>
        </w:rPr>
        <w:t>se han modificado</w:t>
      </w:r>
      <w:r w:rsidRPr="0089437F">
        <w:rPr>
          <w:rFonts w:cs="Tahoma"/>
          <w:sz w:val="24"/>
        </w:rPr>
        <w:t xml:space="preserve"> para ajustar el tiempo de ejecución</w:t>
      </w:r>
      <w:r w:rsidR="001E0BFA" w:rsidRPr="0089437F">
        <w:rPr>
          <w:rFonts w:cs="Tahoma"/>
          <w:sz w:val="24"/>
        </w:rPr>
        <w:t>.</w:t>
      </w:r>
    </w:p>
    <w:p w:rsidR="0089437F" w:rsidRPr="0089437F" w:rsidRDefault="0089437F" w:rsidP="0089437F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89437F">
        <w:rPr>
          <w:rFonts w:cs="Tahoma"/>
          <w:sz w:val="24"/>
        </w:rPr>
        <w:t>Los proyectos “Construcción de la Delegación Santo Domingo Este” y “Ampliación del parqueo de la ADESS para vehículos de visitantes y empleados” que estaban incluidos en el POA 2015, fueron descartados para su ejecución en el presente año por razón estratégicas y a requerimiento de la Dirección General. El proyecto de “Habilitación de un Sistema de Información Estadística” que estaba planificado para ejecutarse durante todo el año, fue modificado en su alcance y se logró realizar en el segundo trimestre.</w:t>
      </w:r>
    </w:p>
    <w:p w:rsidR="0089437F" w:rsidRPr="0089437F" w:rsidRDefault="0089437F" w:rsidP="0089437F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89437F">
        <w:rPr>
          <w:rFonts w:cs="Tahoma"/>
          <w:sz w:val="24"/>
        </w:rPr>
        <w:t xml:space="preserve">Los proyectos de la Dirección de Tecnología de la Información fueron modificados en sus alcances y ajustados sus cronogramas, debido a varios proyectos nuevos y a la colaboración por el personal de la dirección en el apoyo/soporte en proyectos de otras áreas como el proyecto de AdessCloud. Los afectados con suspensión son: </w:t>
      </w:r>
      <w:r w:rsidRPr="00FD78C6">
        <w:rPr>
          <w:rFonts w:cs="Tahoma"/>
          <w:sz w:val="24"/>
        </w:rPr>
        <w:t>Reestructuración, Unificación y Migración de Bases de Datos y Readecuación de Aplicaciones</w:t>
      </w:r>
      <w:r w:rsidRPr="0089437F">
        <w:rPr>
          <w:rFonts w:cs="Tahoma"/>
          <w:sz w:val="24"/>
        </w:rPr>
        <w:t xml:space="preserve">, </w:t>
      </w:r>
      <w:r w:rsidRPr="00FD78C6">
        <w:rPr>
          <w:rFonts w:cs="Tahoma"/>
          <w:sz w:val="24"/>
        </w:rPr>
        <w:t>Mejoramiento Customer Relationship Management (CRM)</w:t>
      </w:r>
      <w:r w:rsidRPr="0089437F">
        <w:rPr>
          <w:rFonts w:cs="Tahoma"/>
          <w:sz w:val="24"/>
        </w:rPr>
        <w:t xml:space="preserve"> y </w:t>
      </w:r>
      <w:r w:rsidRPr="00FD78C6">
        <w:rPr>
          <w:rFonts w:cs="Tahoma"/>
          <w:sz w:val="24"/>
        </w:rPr>
        <w:t>Habilitación WEB Services</w:t>
      </w:r>
      <w:r w:rsidRPr="0089437F">
        <w:rPr>
          <w:rFonts w:cs="Tahoma"/>
          <w:sz w:val="24"/>
        </w:rPr>
        <w:t xml:space="preserve">; Los proyectos nuevos que se están desarrollando y no estaban en el POA son </w:t>
      </w:r>
      <w:r w:rsidRPr="000234CC">
        <w:rPr>
          <w:rFonts w:cs="Tahoma"/>
          <w:sz w:val="24"/>
        </w:rPr>
        <w:t>Implementación Aplicación de Reclamaciones</w:t>
      </w:r>
      <w:r w:rsidRPr="0089437F">
        <w:rPr>
          <w:rFonts w:cs="Tahoma"/>
          <w:sz w:val="24"/>
        </w:rPr>
        <w:t xml:space="preserve">, </w:t>
      </w:r>
      <w:r w:rsidRPr="000234CC">
        <w:rPr>
          <w:rFonts w:cs="Tahoma"/>
          <w:sz w:val="24"/>
        </w:rPr>
        <w:t>Implementación Aplicación de Generación, carga y validación de archivos</w:t>
      </w:r>
      <w:r w:rsidRPr="0089437F">
        <w:rPr>
          <w:rFonts w:cs="Tahoma"/>
          <w:sz w:val="24"/>
        </w:rPr>
        <w:t xml:space="preserve">, </w:t>
      </w:r>
      <w:r w:rsidRPr="000234CC">
        <w:rPr>
          <w:rFonts w:cs="Tahoma"/>
          <w:sz w:val="24"/>
        </w:rPr>
        <w:t>Implementación Aplicación de Reemplazo de tarjetas</w:t>
      </w:r>
      <w:r w:rsidRPr="0089437F">
        <w:rPr>
          <w:rFonts w:cs="Tahoma"/>
          <w:sz w:val="24"/>
        </w:rPr>
        <w:t xml:space="preserve"> e </w:t>
      </w:r>
      <w:r w:rsidRPr="000234CC">
        <w:rPr>
          <w:rFonts w:cs="Tahoma"/>
          <w:sz w:val="24"/>
        </w:rPr>
        <w:t>Implementación Aplicación de entrega de tarjetas</w:t>
      </w:r>
      <w:r w:rsidRPr="0089437F">
        <w:rPr>
          <w:rFonts w:cs="Tahoma"/>
          <w:sz w:val="24"/>
        </w:rPr>
        <w:t xml:space="preserve">. El proyecto de </w:t>
      </w:r>
      <w:r w:rsidRPr="00FD78C6">
        <w:rPr>
          <w:rFonts w:cs="Tahoma"/>
          <w:sz w:val="24"/>
        </w:rPr>
        <w:t>Habilitación de consulta via SMS a nivel nacional</w:t>
      </w:r>
      <w:r w:rsidRPr="0089437F">
        <w:rPr>
          <w:rFonts w:cs="Tahoma"/>
          <w:sz w:val="24"/>
        </w:rPr>
        <w:t xml:space="preserve"> está detenido en un proceso administrativo.</w:t>
      </w:r>
    </w:p>
    <w:p w:rsidR="0089437F" w:rsidRPr="0089437F" w:rsidRDefault="0089437F" w:rsidP="0089437F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89437F">
        <w:rPr>
          <w:rFonts w:cs="Tahoma"/>
          <w:sz w:val="24"/>
        </w:rPr>
        <w:lastRenderedPageBreak/>
        <w:t xml:space="preserve">Los proyectos Construcción de herramienta/aplicación gestión de subsidios de la ADESS y </w:t>
      </w:r>
      <w:r w:rsidRPr="00FD78C6">
        <w:rPr>
          <w:rFonts w:cs="Tahoma"/>
          <w:sz w:val="24"/>
        </w:rPr>
        <w:t>Habilitación versión 2.0 del SIASS</w:t>
      </w:r>
      <w:r w:rsidRPr="0089437F">
        <w:rPr>
          <w:rFonts w:cs="Tahoma"/>
          <w:sz w:val="24"/>
        </w:rPr>
        <w:t xml:space="preserve"> fueron modificados en sus alcances y sus nombres, para “Implementación Aplicación de Transparencia y Reintegros” y “</w:t>
      </w:r>
      <w:r w:rsidRPr="000234CC">
        <w:rPr>
          <w:rFonts w:cs="Tahoma"/>
          <w:sz w:val="24"/>
        </w:rPr>
        <w:t>Modificaciones SBTH-SIASS</w:t>
      </w:r>
      <w:r w:rsidRPr="0089437F">
        <w:rPr>
          <w:rFonts w:cs="Tahoma"/>
          <w:sz w:val="24"/>
        </w:rPr>
        <w:t>”. Por otro lado, se incluyeron 7 actividades estratégicas del Departamento de Recursos Humanos, los cuales se estaban ejecutando y no estaban incluidos en el POA 2015.</w:t>
      </w:r>
    </w:p>
    <w:p w:rsidR="0089437F" w:rsidRPr="0089437F" w:rsidRDefault="0089437F" w:rsidP="0089437F">
      <w:pPr>
        <w:spacing w:line="276" w:lineRule="auto"/>
        <w:ind w:left="567" w:right="-523"/>
        <w:jc w:val="both"/>
        <w:rPr>
          <w:rFonts w:cs="Tahoma"/>
          <w:sz w:val="24"/>
        </w:rPr>
      </w:pPr>
    </w:p>
    <w:p w:rsidR="0089437F" w:rsidRDefault="0089437F">
      <w:pPr>
        <w:rPr>
          <w:rFonts w:eastAsiaTheme="majorEastAsia" w:cs="Tahoma"/>
          <w:color w:val="2E74B5" w:themeColor="accent1" w:themeShade="BF"/>
          <w:sz w:val="36"/>
          <w:szCs w:val="32"/>
        </w:rPr>
      </w:pPr>
      <w:bookmarkStart w:id="3" w:name="_Toc434914613"/>
      <w:r>
        <w:rPr>
          <w:rFonts w:cs="Tahoma"/>
          <w:sz w:val="36"/>
        </w:rPr>
        <w:br w:type="page"/>
      </w:r>
    </w:p>
    <w:p w:rsidR="00834A90" w:rsidRPr="0089437F" w:rsidRDefault="00834A90" w:rsidP="00F076A7">
      <w:pPr>
        <w:pStyle w:val="Ttulo1"/>
        <w:ind w:left="567" w:right="-523"/>
        <w:rPr>
          <w:rFonts w:asciiTheme="minorHAnsi" w:hAnsiTheme="minorHAnsi" w:cs="Tahoma"/>
          <w:sz w:val="36"/>
        </w:rPr>
      </w:pPr>
      <w:r w:rsidRPr="0089437F">
        <w:rPr>
          <w:rFonts w:asciiTheme="minorHAnsi" w:hAnsiTheme="minorHAnsi" w:cs="Tahoma"/>
          <w:sz w:val="36"/>
        </w:rPr>
        <w:lastRenderedPageBreak/>
        <w:t>Observaciones finales</w:t>
      </w:r>
      <w:bookmarkEnd w:id="3"/>
    </w:p>
    <w:p w:rsidR="00834A90" w:rsidRPr="0089437F" w:rsidRDefault="00834A90" w:rsidP="00F076A7">
      <w:pPr>
        <w:ind w:left="567" w:right="-523"/>
        <w:rPr>
          <w:sz w:val="24"/>
        </w:rPr>
      </w:pPr>
    </w:p>
    <w:p w:rsidR="00127AC1" w:rsidRPr="0089437F" w:rsidRDefault="00AC6EA3" w:rsidP="00127AC1">
      <w:pPr>
        <w:pStyle w:val="Prrafodelista"/>
        <w:ind w:left="567" w:right="-523"/>
        <w:jc w:val="both"/>
        <w:rPr>
          <w:sz w:val="24"/>
        </w:rPr>
      </w:pPr>
      <w:r w:rsidRPr="0089437F">
        <w:rPr>
          <w:sz w:val="24"/>
        </w:rPr>
        <w:t xml:space="preserve">Es necesario hacer la aclaración de los trimestres que han precedido y del porcentaje de las actividades realizadas </w:t>
      </w:r>
      <w:r w:rsidR="00127AC1" w:rsidRPr="0089437F">
        <w:rPr>
          <w:sz w:val="24"/>
        </w:rPr>
        <w:t>correspondientes al Objetivo Estratégico II.1 Gestión Eficiente y de Calidad</w:t>
      </w:r>
      <w:r w:rsidRPr="0089437F">
        <w:rPr>
          <w:sz w:val="24"/>
        </w:rPr>
        <w:t>,</w:t>
      </w:r>
      <w:r w:rsidR="00127AC1" w:rsidRPr="0089437F">
        <w:rPr>
          <w:sz w:val="24"/>
        </w:rPr>
        <w:t xml:space="preserve"> en el trimestre </w:t>
      </w:r>
      <w:r w:rsidR="004F6029" w:rsidRPr="0089437F">
        <w:rPr>
          <w:b/>
          <w:sz w:val="24"/>
        </w:rPr>
        <w:t>ENERO-MARZO</w:t>
      </w:r>
      <w:r w:rsidR="004F6029" w:rsidRPr="0089437F">
        <w:rPr>
          <w:sz w:val="24"/>
        </w:rPr>
        <w:t xml:space="preserve"> </w:t>
      </w:r>
      <w:r w:rsidR="00127AC1" w:rsidRPr="0089437F">
        <w:rPr>
          <w:sz w:val="24"/>
        </w:rPr>
        <w:t>se han ejecutado</w:t>
      </w:r>
      <w:r w:rsidR="00666BE0" w:rsidRPr="0089437F">
        <w:rPr>
          <w:sz w:val="24"/>
        </w:rPr>
        <w:t xml:space="preserve"> </w:t>
      </w:r>
      <w:r w:rsidR="007A06DE" w:rsidRPr="0089437F">
        <w:rPr>
          <w:sz w:val="24"/>
        </w:rPr>
        <w:t>catorce</w:t>
      </w:r>
      <w:r w:rsidR="00F533BE" w:rsidRPr="0089437F">
        <w:rPr>
          <w:sz w:val="24"/>
        </w:rPr>
        <w:t xml:space="preserve"> </w:t>
      </w:r>
      <w:r w:rsidR="00666BE0" w:rsidRPr="0089437F">
        <w:rPr>
          <w:sz w:val="24"/>
        </w:rPr>
        <w:t>(</w:t>
      </w:r>
      <w:r w:rsidR="009B3312" w:rsidRPr="0089437F">
        <w:rPr>
          <w:sz w:val="24"/>
        </w:rPr>
        <w:t>1</w:t>
      </w:r>
      <w:r w:rsidR="007A06DE" w:rsidRPr="0089437F">
        <w:rPr>
          <w:sz w:val="24"/>
        </w:rPr>
        <w:t>4</w:t>
      </w:r>
      <w:r w:rsidR="00666BE0" w:rsidRPr="0089437F">
        <w:rPr>
          <w:sz w:val="24"/>
        </w:rPr>
        <w:t>)</w:t>
      </w:r>
      <w:r w:rsidR="00F533BE" w:rsidRPr="0089437F">
        <w:rPr>
          <w:b/>
          <w:color w:val="FF0000"/>
          <w:sz w:val="24"/>
        </w:rPr>
        <w:t xml:space="preserve"> </w:t>
      </w:r>
      <w:r w:rsidR="0074303B" w:rsidRPr="0089437F">
        <w:rPr>
          <w:sz w:val="24"/>
        </w:rPr>
        <w:t>actividades</w:t>
      </w:r>
      <w:r w:rsidR="00127AC1" w:rsidRPr="0089437F">
        <w:rPr>
          <w:sz w:val="24"/>
        </w:rPr>
        <w:t xml:space="preserve">, </w:t>
      </w:r>
      <w:r w:rsidRPr="0089437F">
        <w:rPr>
          <w:sz w:val="24"/>
        </w:rPr>
        <w:t>las cuales son</w:t>
      </w:r>
      <w:r w:rsidR="00127AC1" w:rsidRPr="0089437F">
        <w:rPr>
          <w:sz w:val="24"/>
        </w:rPr>
        <w:t>:</w:t>
      </w:r>
    </w:p>
    <w:p w:rsidR="00127AC1" w:rsidRPr="0089437F" w:rsidRDefault="00127AC1" w:rsidP="00127AC1">
      <w:pPr>
        <w:pStyle w:val="Prrafodelista"/>
        <w:ind w:left="567" w:right="-523"/>
        <w:jc w:val="both"/>
        <w:rPr>
          <w:sz w:val="24"/>
        </w:rPr>
      </w:pPr>
    </w:p>
    <w:tbl>
      <w:tblPr>
        <w:tblW w:w="8392" w:type="dxa"/>
        <w:tblInd w:w="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6237"/>
        <w:gridCol w:w="1641"/>
      </w:tblGrid>
      <w:tr w:rsidR="00AC6EA3" w:rsidRPr="0089437F" w:rsidTr="001B0481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6EA3" w:rsidRPr="0089437F" w:rsidRDefault="001B0481" w:rsidP="001B0481">
            <w:pPr>
              <w:spacing w:after="0" w:line="240" w:lineRule="auto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6EA3" w:rsidRPr="0089437F" w:rsidRDefault="00AC6EA3" w:rsidP="001B04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Nombre de actividad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6EA3" w:rsidRPr="0089437F" w:rsidRDefault="00AC6EA3" w:rsidP="00AC6E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% Ejecución acum.</w:t>
            </w:r>
          </w:p>
        </w:tc>
      </w:tr>
      <w:tr w:rsidR="00AC6EA3" w:rsidRPr="0089437F" w:rsidTr="001B0481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1B0481" w:rsidP="00AC6EA3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AC6EA3" w:rsidP="00AC6EA3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Prevención de enfermedades en la ADESS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AC6EA3" w:rsidP="00AC6EA3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100</w:t>
            </w:r>
          </w:p>
        </w:tc>
      </w:tr>
      <w:tr w:rsidR="00AC6EA3" w:rsidRPr="0089437F" w:rsidTr="001B0481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1B0481" w:rsidP="00AC6EA3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A3" w:rsidRPr="0089437F" w:rsidRDefault="00AC6EA3" w:rsidP="00AC6EA3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Apoyo a la creatividad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A3" w:rsidRPr="0089437F" w:rsidRDefault="00AC6EA3" w:rsidP="00AC6EA3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25</w:t>
            </w:r>
          </w:p>
        </w:tc>
      </w:tr>
      <w:tr w:rsidR="00AC6EA3" w:rsidRPr="0089437F" w:rsidTr="001B0481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1B0481" w:rsidP="00AC6EA3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A3" w:rsidRPr="0089437F" w:rsidRDefault="00AC6EA3" w:rsidP="00AC6EA3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Capacitar y entrenar al personal de la ADESS para la mejora de la gestión de la ADESS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A3" w:rsidRPr="0089437F" w:rsidRDefault="00AC6EA3" w:rsidP="00AC6EA3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25</w:t>
            </w:r>
          </w:p>
        </w:tc>
      </w:tr>
      <w:tr w:rsidR="00AC6EA3" w:rsidRPr="0089437F" w:rsidTr="001B0481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1B0481" w:rsidP="00AC6EA3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A3" w:rsidRPr="0089437F" w:rsidRDefault="00AC6EA3" w:rsidP="00AC6EA3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Monitorear la eficacia y la calidad de los servicios ofrecidos a los beneficiarios por la Red de Abastecimiento Social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A3" w:rsidRPr="0089437F" w:rsidRDefault="00F41CEA" w:rsidP="00AC6EA3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25</w:t>
            </w:r>
          </w:p>
        </w:tc>
      </w:tr>
      <w:tr w:rsidR="00AC6EA3" w:rsidRPr="0089437F" w:rsidTr="001B0481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1B0481" w:rsidP="00AC6EA3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A3" w:rsidRPr="0089437F" w:rsidRDefault="00AC6EA3" w:rsidP="00AC6EA3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Monitorear el cumplimiento de los Acuerdos de Servicios de las Entidades Financieras participantes en el SPSS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A3" w:rsidRPr="0089437F" w:rsidRDefault="00AC6EA3" w:rsidP="00AC6EA3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25</w:t>
            </w:r>
          </w:p>
        </w:tc>
      </w:tr>
      <w:tr w:rsidR="00AC6EA3" w:rsidRPr="0089437F" w:rsidTr="001B0481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1B0481" w:rsidP="00AC6EA3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A3" w:rsidRPr="0089437F" w:rsidRDefault="00AC6EA3" w:rsidP="00AC6EA3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Normalización de la Delegación Prov. Santiago Rodriguez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A3" w:rsidRPr="0089437F" w:rsidRDefault="00AC6EA3" w:rsidP="00AC6EA3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AC6EA3" w:rsidRPr="0089437F" w:rsidTr="001B0481">
        <w:trPr>
          <w:trHeight w:val="52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1B0481" w:rsidP="00AC6EA3">
            <w:pPr>
              <w:jc w:val="center"/>
              <w:rPr>
                <w:sz w:val="24"/>
              </w:rPr>
            </w:pPr>
            <w:r w:rsidRPr="0089437F">
              <w:rPr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AC6EA3" w:rsidP="00AC6EA3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Habilitación del plan de Continuidad de Negocios como medida de Contingencia en la ADESS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AC6EA3" w:rsidP="00AC6EA3">
            <w:pPr>
              <w:jc w:val="center"/>
              <w:rPr>
                <w:sz w:val="24"/>
              </w:rPr>
            </w:pPr>
            <w:r w:rsidRPr="0089437F">
              <w:rPr>
                <w:sz w:val="24"/>
              </w:rPr>
              <w:t>25</w:t>
            </w:r>
          </w:p>
        </w:tc>
      </w:tr>
      <w:tr w:rsidR="00AC6EA3" w:rsidRPr="0089437F" w:rsidTr="001B0481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1B0481" w:rsidP="00AC6EA3">
            <w:pPr>
              <w:jc w:val="center"/>
              <w:rPr>
                <w:sz w:val="24"/>
              </w:rPr>
            </w:pPr>
            <w:r w:rsidRPr="0089437F">
              <w:rPr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AC6EA3" w:rsidP="00AC6EA3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Habilitación del Sistema de Gestión de Seguridad de la Información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AC6EA3" w:rsidP="00AC6EA3">
            <w:pPr>
              <w:jc w:val="center"/>
              <w:rPr>
                <w:sz w:val="24"/>
              </w:rPr>
            </w:pPr>
            <w:r w:rsidRPr="0089437F">
              <w:rPr>
                <w:sz w:val="24"/>
              </w:rPr>
              <w:t>25</w:t>
            </w:r>
          </w:p>
        </w:tc>
      </w:tr>
      <w:tr w:rsidR="00AC6EA3" w:rsidRPr="0089437F" w:rsidTr="001B0481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1B0481" w:rsidP="00AC6EA3">
            <w:pPr>
              <w:jc w:val="center"/>
              <w:rPr>
                <w:sz w:val="24"/>
              </w:rPr>
            </w:pPr>
            <w:r w:rsidRPr="0089437F">
              <w:rPr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AC6EA3" w:rsidP="00AC6EA3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Fortalecimiento de la Infraestructura Tecnológica para optimización de los Servicios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AC6EA3" w:rsidP="00AC6EA3">
            <w:pPr>
              <w:jc w:val="center"/>
              <w:rPr>
                <w:sz w:val="24"/>
              </w:rPr>
            </w:pPr>
            <w:r w:rsidRPr="0089437F">
              <w:rPr>
                <w:sz w:val="24"/>
              </w:rPr>
              <w:t>25</w:t>
            </w:r>
          </w:p>
        </w:tc>
      </w:tr>
      <w:tr w:rsidR="00AC6EA3" w:rsidRPr="0089437F" w:rsidTr="001B0481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1B0481" w:rsidP="00AC6EA3">
            <w:pPr>
              <w:jc w:val="center"/>
              <w:rPr>
                <w:sz w:val="24"/>
              </w:rPr>
            </w:pPr>
            <w:r w:rsidRPr="0089437F">
              <w:rPr>
                <w:sz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AC6EA3" w:rsidP="00AC6EA3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Mejoramiento de la solución de telefonía ADESS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AC6EA3" w:rsidP="00AC6EA3">
            <w:pPr>
              <w:jc w:val="center"/>
              <w:rPr>
                <w:sz w:val="24"/>
              </w:rPr>
            </w:pPr>
            <w:r w:rsidRPr="0089437F">
              <w:rPr>
                <w:sz w:val="24"/>
              </w:rPr>
              <w:t>25</w:t>
            </w:r>
          </w:p>
        </w:tc>
      </w:tr>
      <w:tr w:rsidR="00AC6EA3" w:rsidRPr="0089437F" w:rsidTr="001B0481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1B0481" w:rsidP="00AC6EA3">
            <w:pPr>
              <w:jc w:val="center"/>
              <w:rPr>
                <w:sz w:val="24"/>
              </w:rPr>
            </w:pPr>
            <w:r w:rsidRPr="0089437F">
              <w:rPr>
                <w:sz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AC6EA3" w:rsidP="00AC6EA3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Construcción de estructura que soporte el centro de atención al beneficiario tarjetahabiente (BTH)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AC6EA3" w:rsidP="00AC6EA3">
            <w:pPr>
              <w:jc w:val="center"/>
              <w:rPr>
                <w:sz w:val="24"/>
              </w:rPr>
            </w:pPr>
            <w:r w:rsidRPr="0089437F">
              <w:rPr>
                <w:sz w:val="24"/>
              </w:rPr>
              <w:t>25</w:t>
            </w:r>
          </w:p>
        </w:tc>
      </w:tr>
      <w:tr w:rsidR="00AC6EA3" w:rsidRPr="0089437F" w:rsidTr="001B0481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1B0481" w:rsidP="00AC6EA3">
            <w:pPr>
              <w:jc w:val="center"/>
              <w:rPr>
                <w:sz w:val="24"/>
              </w:rPr>
            </w:pPr>
            <w:r w:rsidRPr="0089437F">
              <w:rPr>
                <w:sz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AC6EA3" w:rsidP="00AC6EA3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Mejoramiento de los servicios de tecnología, según ITIL versión 03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AC6EA3" w:rsidP="00AC6EA3">
            <w:pPr>
              <w:jc w:val="center"/>
              <w:rPr>
                <w:sz w:val="24"/>
              </w:rPr>
            </w:pPr>
            <w:r w:rsidRPr="0089437F">
              <w:rPr>
                <w:sz w:val="24"/>
              </w:rPr>
              <w:t>25</w:t>
            </w:r>
          </w:p>
        </w:tc>
      </w:tr>
      <w:tr w:rsidR="007A06DE" w:rsidRPr="0089437F" w:rsidTr="001B0481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6DE" w:rsidRPr="0089437F" w:rsidRDefault="007A06DE" w:rsidP="00AC6EA3">
            <w:pPr>
              <w:jc w:val="center"/>
              <w:rPr>
                <w:sz w:val="24"/>
              </w:rPr>
            </w:pPr>
            <w:r w:rsidRPr="0089437F">
              <w:rPr>
                <w:sz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6DE" w:rsidRPr="0089437F" w:rsidRDefault="007A06DE" w:rsidP="00AC6EA3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 xml:space="preserve">Implementación Aplicación de Transparencia y Reintegros 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6DE" w:rsidRPr="0089437F" w:rsidRDefault="007A06DE" w:rsidP="00AC6EA3">
            <w:pPr>
              <w:jc w:val="center"/>
              <w:rPr>
                <w:sz w:val="24"/>
              </w:rPr>
            </w:pPr>
            <w:r w:rsidRPr="0089437F">
              <w:rPr>
                <w:sz w:val="24"/>
              </w:rPr>
              <w:t>25</w:t>
            </w:r>
          </w:p>
        </w:tc>
      </w:tr>
      <w:tr w:rsidR="00AC6EA3" w:rsidRPr="0089437F" w:rsidTr="001B0481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A3" w:rsidRPr="0089437F" w:rsidRDefault="001B0481" w:rsidP="007A06DE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</w:t>
            </w:r>
            <w:r w:rsidR="007A06DE" w:rsidRPr="0089437F">
              <w:rPr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A3" w:rsidRPr="0089437F" w:rsidRDefault="00AC6EA3" w:rsidP="00AC6EA3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 xml:space="preserve">Apoyar en la Implementación del Sistema de Gestión de la Calidad y CAF/ 9001-2008. Dar apoyo sobre las actividades y capacitaciones  realizadas con el personal sobre ISO 9001-2008 y CAF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EA3" w:rsidRPr="0089437F" w:rsidRDefault="00AC6EA3" w:rsidP="00AC6EA3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25</w:t>
            </w:r>
          </w:p>
        </w:tc>
      </w:tr>
    </w:tbl>
    <w:p w:rsidR="00770285" w:rsidRPr="0089437F" w:rsidRDefault="00770285" w:rsidP="009B3312">
      <w:pPr>
        <w:pStyle w:val="Prrafodelista"/>
        <w:ind w:left="567" w:right="-523"/>
        <w:jc w:val="both"/>
        <w:rPr>
          <w:sz w:val="24"/>
        </w:rPr>
      </w:pPr>
    </w:p>
    <w:p w:rsidR="00263057" w:rsidRDefault="00263057">
      <w:pPr>
        <w:rPr>
          <w:sz w:val="24"/>
        </w:rPr>
      </w:pPr>
      <w:r>
        <w:rPr>
          <w:sz w:val="24"/>
        </w:rPr>
        <w:br w:type="page"/>
      </w:r>
    </w:p>
    <w:p w:rsidR="009B3312" w:rsidRPr="0089437F" w:rsidRDefault="009B3312" w:rsidP="009B3312">
      <w:pPr>
        <w:pStyle w:val="Prrafodelista"/>
        <w:ind w:left="567" w:right="-523"/>
        <w:jc w:val="both"/>
        <w:rPr>
          <w:sz w:val="24"/>
        </w:rPr>
      </w:pPr>
      <w:r w:rsidRPr="0089437F">
        <w:rPr>
          <w:sz w:val="24"/>
        </w:rPr>
        <w:lastRenderedPageBreak/>
        <w:t xml:space="preserve">De </w:t>
      </w:r>
      <w:r w:rsidR="00AC6EA3" w:rsidRPr="0089437F">
        <w:rPr>
          <w:sz w:val="24"/>
        </w:rPr>
        <w:t>las actividades</w:t>
      </w:r>
      <w:r w:rsidRPr="0089437F">
        <w:rPr>
          <w:sz w:val="24"/>
        </w:rPr>
        <w:t xml:space="preserve"> correspondientes al Objetivo Estratégico </w:t>
      </w:r>
      <w:r w:rsidR="001B0481" w:rsidRPr="0089437F">
        <w:rPr>
          <w:sz w:val="24"/>
        </w:rPr>
        <w:t>II.2 Gestión de Servicio a las Familias</w:t>
      </w:r>
      <w:r w:rsidRPr="0089437F">
        <w:rPr>
          <w:sz w:val="24"/>
        </w:rPr>
        <w:t xml:space="preserve">, en el trimestre </w:t>
      </w:r>
      <w:r w:rsidR="004F6029" w:rsidRPr="0089437F">
        <w:rPr>
          <w:b/>
          <w:sz w:val="24"/>
        </w:rPr>
        <w:t>ENERO-MARZO</w:t>
      </w:r>
      <w:r w:rsidR="004F6029" w:rsidRPr="0089437F">
        <w:rPr>
          <w:sz w:val="24"/>
        </w:rPr>
        <w:t xml:space="preserve"> </w:t>
      </w:r>
      <w:r w:rsidRPr="0089437F">
        <w:rPr>
          <w:sz w:val="24"/>
        </w:rPr>
        <w:t>se han ejecutado</w:t>
      </w:r>
      <w:r w:rsidR="00666BE0" w:rsidRPr="0089437F">
        <w:rPr>
          <w:sz w:val="24"/>
        </w:rPr>
        <w:t xml:space="preserve"> dos</w:t>
      </w:r>
      <w:r w:rsidRPr="0089437F">
        <w:rPr>
          <w:sz w:val="24"/>
        </w:rPr>
        <w:t xml:space="preserve"> </w:t>
      </w:r>
      <w:r w:rsidR="00666BE0" w:rsidRPr="0089437F">
        <w:rPr>
          <w:sz w:val="24"/>
        </w:rPr>
        <w:t>(</w:t>
      </w:r>
      <w:r w:rsidR="00AC6EA3" w:rsidRPr="0089437F">
        <w:rPr>
          <w:sz w:val="24"/>
        </w:rPr>
        <w:t>2</w:t>
      </w:r>
      <w:r w:rsidR="00666BE0" w:rsidRPr="0089437F">
        <w:rPr>
          <w:sz w:val="24"/>
        </w:rPr>
        <w:t>)</w:t>
      </w:r>
      <w:r w:rsidRPr="0089437F">
        <w:rPr>
          <w:sz w:val="24"/>
        </w:rPr>
        <w:t xml:space="preserve"> actividades, entre los que se destacan:</w:t>
      </w:r>
    </w:p>
    <w:tbl>
      <w:tblPr>
        <w:tblW w:w="8441" w:type="dxa"/>
        <w:tblInd w:w="84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204"/>
        <w:gridCol w:w="1633"/>
      </w:tblGrid>
      <w:tr w:rsidR="001B0481" w:rsidRPr="0089437F" w:rsidTr="001B0481">
        <w:trPr>
          <w:trHeight w:val="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B0481" w:rsidRPr="0089437F" w:rsidRDefault="001B0481" w:rsidP="001B048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0481" w:rsidRPr="0089437F" w:rsidRDefault="001B0481" w:rsidP="001B04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Nombre de actividad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0481" w:rsidRPr="0089437F" w:rsidRDefault="001B0481" w:rsidP="001B04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% Ejecución acum.</w:t>
            </w:r>
          </w:p>
        </w:tc>
      </w:tr>
      <w:tr w:rsidR="001B0481" w:rsidRPr="0089437F" w:rsidTr="001B0481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481" w:rsidRPr="0089437F" w:rsidRDefault="001B0481" w:rsidP="001B0481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0481" w:rsidRPr="0089437F" w:rsidRDefault="001B0481" w:rsidP="001B0481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Entrega de 11,208 tarjetas por cambio de imagen IES BHD y ALNAP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0481" w:rsidRPr="0089437F" w:rsidRDefault="001B0481" w:rsidP="001B0481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1B0481" w:rsidRPr="0089437F" w:rsidTr="001B0481">
        <w:trPr>
          <w:trHeight w:val="4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481" w:rsidRPr="0089437F" w:rsidRDefault="001B0481" w:rsidP="001B0481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2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0481" w:rsidRPr="0089437F" w:rsidRDefault="001B0481" w:rsidP="001B0481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Entrega de 8,967 tarjetas por vencimiento Enero-Febrero 2015 APAP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0481" w:rsidRPr="0089437F" w:rsidRDefault="001B0481" w:rsidP="001B0481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100</w:t>
            </w:r>
          </w:p>
        </w:tc>
      </w:tr>
    </w:tbl>
    <w:p w:rsidR="0089437F" w:rsidRPr="0089437F" w:rsidRDefault="0089437F" w:rsidP="001B0481">
      <w:pPr>
        <w:pStyle w:val="Prrafodelista"/>
        <w:ind w:left="567" w:right="-523"/>
        <w:jc w:val="both"/>
        <w:rPr>
          <w:sz w:val="24"/>
        </w:rPr>
      </w:pPr>
    </w:p>
    <w:p w:rsidR="0074303B" w:rsidRPr="0089437F" w:rsidRDefault="00770285" w:rsidP="001B0481">
      <w:pPr>
        <w:pStyle w:val="Prrafodelista"/>
        <w:ind w:left="567" w:right="-523"/>
        <w:jc w:val="both"/>
        <w:rPr>
          <w:sz w:val="24"/>
        </w:rPr>
      </w:pPr>
      <w:r w:rsidRPr="0089437F">
        <w:rPr>
          <w:sz w:val="24"/>
        </w:rPr>
        <w:t>Las actividades</w:t>
      </w:r>
      <w:r w:rsidR="009B3312" w:rsidRPr="0089437F">
        <w:rPr>
          <w:sz w:val="24"/>
        </w:rPr>
        <w:t xml:space="preserve"> correspondientes a</w:t>
      </w:r>
      <w:r w:rsidR="001B0481" w:rsidRPr="0089437F">
        <w:rPr>
          <w:sz w:val="24"/>
        </w:rPr>
        <w:t xml:space="preserve"> </w:t>
      </w:r>
      <w:r w:rsidR="009B3312" w:rsidRPr="0089437F">
        <w:rPr>
          <w:sz w:val="24"/>
        </w:rPr>
        <w:t>l</w:t>
      </w:r>
      <w:r w:rsidR="001B0481" w:rsidRPr="0089437F">
        <w:rPr>
          <w:sz w:val="24"/>
        </w:rPr>
        <w:t>os</w:t>
      </w:r>
      <w:r w:rsidR="009B3312" w:rsidRPr="0089437F">
        <w:rPr>
          <w:sz w:val="24"/>
        </w:rPr>
        <w:t xml:space="preserve"> Objetivo</w:t>
      </w:r>
      <w:r w:rsidR="001B0481" w:rsidRPr="0089437F">
        <w:rPr>
          <w:sz w:val="24"/>
        </w:rPr>
        <w:t>s</w:t>
      </w:r>
      <w:r w:rsidR="009B3312" w:rsidRPr="0089437F">
        <w:rPr>
          <w:sz w:val="24"/>
        </w:rPr>
        <w:t xml:space="preserve"> Estratégico</w:t>
      </w:r>
      <w:r w:rsidR="001B0481" w:rsidRPr="0089437F">
        <w:rPr>
          <w:sz w:val="24"/>
        </w:rPr>
        <w:t>s</w:t>
      </w:r>
      <w:r w:rsidR="009B3312" w:rsidRPr="0089437F">
        <w:rPr>
          <w:sz w:val="24"/>
        </w:rPr>
        <w:t xml:space="preserve"> </w:t>
      </w:r>
      <w:r w:rsidR="001B0481" w:rsidRPr="0089437F">
        <w:rPr>
          <w:sz w:val="24"/>
        </w:rPr>
        <w:t xml:space="preserve">II.1.5 y II.2.2 </w:t>
      </w:r>
      <w:r w:rsidRPr="0089437F">
        <w:rPr>
          <w:sz w:val="24"/>
        </w:rPr>
        <w:t xml:space="preserve">en el trimestre </w:t>
      </w:r>
      <w:r w:rsidR="00666BE0" w:rsidRPr="0089437F">
        <w:rPr>
          <w:b/>
          <w:sz w:val="24"/>
        </w:rPr>
        <w:t>ENERO-MARZO</w:t>
      </w:r>
      <w:r w:rsidR="00666BE0" w:rsidRPr="0089437F">
        <w:rPr>
          <w:sz w:val="24"/>
        </w:rPr>
        <w:t xml:space="preserve"> </w:t>
      </w:r>
      <w:r w:rsidR="001B0481" w:rsidRPr="0089437F">
        <w:rPr>
          <w:sz w:val="24"/>
        </w:rPr>
        <w:t>no presentan porcentaje porque su inicio está previsto para el segundo y tercer trimestre.</w:t>
      </w:r>
    </w:p>
    <w:p w:rsidR="0089437F" w:rsidRPr="0089437F" w:rsidRDefault="0089437F" w:rsidP="00127AC1">
      <w:pPr>
        <w:pStyle w:val="Prrafodelista"/>
        <w:ind w:left="567" w:right="-523"/>
        <w:jc w:val="both"/>
        <w:rPr>
          <w:sz w:val="24"/>
        </w:rPr>
      </w:pPr>
    </w:p>
    <w:p w:rsidR="001B0481" w:rsidRPr="0089437F" w:rsidRDefault="00FA7062" w:rsidP="00127AC1">
      <w:pPr>
        <w:pStyle w:val="Prrafodelista"/>
        <w:ind w:left="567" w:right="-523"/>
        <w:jc w:val="both"/>
        <w:rPr>
          <w:sz w:val="24"/>
        </w:rPr>
      </w:pPr>
      <w:r w:rsidRPr="0089437F">
        <w:rPr>
          <w:sz w:val="24"/>
        </w:rPr>
        <w:t xml:space="preserve">De las actividades realizadas correspondientes al Objetivo Estratégico II.1 Gestión Eficiente y de Calidad, en el trimestre </w:t>
      </w:r>
      <w:r w:rsidR="00666BE0" w:rsidRPr="0089437F">
        <w:rPr>
          <w:b/>
          <w:sz w:val="24"/>
        </w:rPr>
        <w:t xml:space="preserve">ABRIL-JUNIO </w:t>
      </w:r>
      <w:r w:rsidRPr="0089437F">
        <w:rPr>
          <w:sz w:val="24"/>
        </w:rPr>
        <w:t xml:space="preserve">se han ejecutado </w:t>
      </w:r>
      <w:r w:rsidR="005736BC" w:rsidRPr="0089437F">
        <w:rPr>
          <w:sz w:val="24"/>
        </w:rPr>
        <w:t>diecinueve</w:t>
      </w:r>
      <w:r w:rsidR="00666BE0" w:rsidRPr="0089437F">
        <w:rPr>
          <w:sz w:val="24"/>
        </w:rPr>
        <w:t xml:space="preserve"> (</w:t>
      </w:r>
      <w:r w:rsidR="005736BC" w:rsidRPr="0089437F">
        <w:rPr>
          <w:sz w:val="24"/>
        </w:rPr>
        <w:t>19</w:t>
      </w:r>
      <w:r w:rsidR="00666BE0" w:rsidRPr="0089437F">
        <w:rPr>
          <w:sz w:val="24"/>
        </w:rPr>
        <w:t>)</w:t>
      </w:r>
      <w:r w:rsidRPr="0089437F">
        <w:rPr>
          <w:b/>
          <w:color w:val="FF0000"/>
          <w:sz w:val="24"/>
        </w:rPr>
        <w:t xml:space="preserve"> </w:t>
      </w:r>
      <w:r w:rsidRPr="0089437F">
        <w:rPr>
          <w:sz w:val="24"/>
        </w:rPr>
        <w:t>actividades, las cuales son:</w:t>
      </w:r>
    </w:p>
    <w:tbl>
      <w:tblPr>
        <w:tblW w:w="8505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701"/>
      </w:tblGrid>
      <w:tr w:rsidR="00FA7062" w:rsidRPr="0089437F" w:rsidTr="00FA706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Nombre de actividad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% Ejecución acum.</w:t>
            </w:r>
          </w:p>
        </w:tc>
      </w:tr>
      <w:tr w:rsidR="00FA7062" w:rsidRPr="0089437F" w:rsidTr="00FA706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Apoyo a la creatividad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FA7062" w:rsidRPr="0089437F" w:rsidTr="00FA706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Capacitar y entrenar al personal de la ADESS para la mejora de la gestión de la ADESS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FA7062" w:rsidRPr="0089437F" w:rsidTr="00FA706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Monitorear la eficacia y la calidad de los servicios ofrecidos a los beneficiarios por la Red de Abastecimiento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41CEA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FA7062" w:rsidRPr="0089437F" w:rsidTr="00FA706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Monitorear el cumplimiento de los Acuerdos de Servicios de las Entidades Financieras participantes en el SPSS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FA7062" w:rsidRPr="0089437F" w:rsidTr="00FA706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Remodelaci</w:t>
            </w:r>
            <w:r w:rsidR="00683E19" w:rsidRPr="0089437F">
              <w:rPr>
                <w:sz w:val="24"/>
              </w:rPr>
              <w:t>ón Organizacional de la Entidad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33</w:t>
            </w:r>
          </w:p>
        </w:tc>
      </w:tr>
      <w:tr w:rsidR="00FA7062" w:rsidRPr="0089437F" w:rsidTr="00FA706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Habilitación de un Sis</w:t>
            </w:r>
            <w:r w:rsidR="00683E19" w:rsidRPr="0089437F">
              <w:rPr>
                <w:sz w:val="24"/>
              </w:rPr>
              <w:t>tema de Información Estadística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100</w:t>
            </w:r>
          </w:p>
        </w:tc>
      </w:tr>
      <w:tr w:rsidR="00FA7062" w:rsidRPr="0089437F" w:rsidTr="00FA706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Normalización de la Delegación Prov. Santiago Rodriguez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100</w:t>
            </w:r>
          </w:p>
        </w:tc>
      </w:tr>
      <w:tr w:rsidR="00FA7062" w:rsidRPr="0089437F" w:rsidTr="00FA706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Mejoramiento de comercios comprometidos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100</w:t>
            </w:r>
          </w:p>
        </w:tc>
      </w:tr>
      <w:tr w:rsidR="00FA7062" w:rsidRPr="0089437F" w:rsidTr="00FA706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Equipamiento de energía solar  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100</w:t>
            </w:r>
          </w:p>
        </w:tc>
      </w:tr>
      <w:tr w:rsidR="00FA7062" w:rsidRPr="0089437F" w:rsidTr="00FA706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Habilitación del plan de Continuidad de Negocios como medida de Contingencia en la ADESS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FA7062" w:rsidRPr="0089437F" w:rsidTr="00FA706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Habilitación del Sistema de Gestión de Seguridad de la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FA7062" w:rsidRPr="0089437F" w:rsidTr="00FA706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Fortalecimiento de la Infraestructura Tecnológica para optimización de los Servicios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FA7062" w:rsidRPr="0089437F" w:rsidTr="00FA706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Mejoramiento de la solución de telefonía ADESS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FA7062" w:rsidRPr="0089437F" w:rsidTr="00FA706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Construcción de estructura que soporte el centro de atención al beneficiario tarjetahabiente (BTH)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FA7062" w:rsidRPr="0089437F" w:rsidTr="00FA706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Mejoramiento de los servicios de tecnología, según ITIL versión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FA7062" w:rsidRPr="0089437F" w:rsidTr="0089437F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5736BC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lastRenderedPageBreak/>
              <w:t>1</w:t>
            </w:r>
            <w:r w:rsidR="005736BC" w:rsidRPr="0089437F">
              <w:rPr>
                <w:sz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683E19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 xml:space="preserve">Implementación Aplicación de Transparencia y Reintegros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2" w:rsidRPr="0089437F" w:rsidRDefault="00683E19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FA7062" w:rsidRPr="0089437F" w:rsidTr="00FA706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5736BC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</w:t>
            </w:r>
            <w:r w:rsidR="005736BC" w:rsidRPr="0089437F">
              <w:rPr>
                <w:sz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"Boletines Orientativos" Se publicarán boletines orientativos relacionado al ahorro de energ</w:t>
            </w:r>
            <w:r w:rsidR="00683E19" w:rsidRPr="0089437F">
              <w:rPr>
                <w:sz w:val="24"/>
              </w:rPr>
              <w:t>ía y medio ambiente en general</w:t>
            </w:r>
            <w:r w:rsidRPr="0089437F">
              <w:rPr>
                <w:sz w:val="24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33</w:t>
            </w:r>
          </w:p>
        </w:tc>
      </w:tr>
      <w:tr w:rsidR="00FA7062" w:rsidRPr="0089437F" w:rsidTr="00FA706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FA7062" w:rsidP="005736BC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</w:t>
            </w:r>
            <w:r w:rsidR="005736BC" w:rsidRPr="0089437F">
              <w:rPr>
                <w:sz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 xml:space="preserve">"Capacitaciones Responsabilidad Social”. Se realizarán capacitaciones al personal en seguridad </w:t>
            </w:r>
            <w:r w:rsidR="00683E19" w:rsidRPr="0089437F">
              <w:rPr>
                <w:sz w:val="24"/>
              </w:rPr>
              <w:t>Industrial y Primeros Auxilios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FA7062" w:rsidRPr="0089437F" w:rsidTr="00FA7062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2" w:rsidRPr="0089437F" w:rsidRDefault="005736BC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 xml:space="preserve">Apoyar en la Implementación del Sistema de Gestión de la Calidad y CAF/ 9001-2008. Dar apoyo sobre las actividades y capacitaciones  realizadas con el personal sobre ISO 9001-2008 y CAF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62" w:rsidRPr="0089437F" w:rsidRDefault="00FA7062" w:rsidP="00FA7062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</w:tbl>
    <w:p w:rsidR="00FA7062" w:rsidRPr="0089437F" w:rsidRDefault="00FA7062" w:rsidP="00127AC1">
      <w:pPr>
        <w:pStyle w:val="Prrafodelista"/>
        <w:ind w:left="567" w:right="-523"/>
        <w:jc w:val="both"/>
        <w:rPr>
          <w:sz w:val="24"/>
        </w:rPr>
      </w:pPr>
    </w:p>
    <w:p w:rsidR="00FA7062" w:rsidRPr="0089437F" w:rsidRDefault="009241B0" w:rsidP="00FA7062">
      <w:pPr>
        <w:pStyle w:val="Prrafodelista"/>
        <w:ind w:left="567" w:right="-523"/>
        <w:jc w:val="both"/>
        <w:rPr>
          <w:sz w:val="24"/>
        </w:rPr>
      </w:pPr>
      <w:r w:rsidRPr="0089437F">
        <w:rPr>
          <w:sz w:val="24"/>
        </w:rPr>
        <w:t>Del</w:t>
      </w:r>
      <w:r w:rsidR="00FA7062" w:rsidRPr="0089437F">
        <w:rPr>
          <w:sz w:val="24"/>
        </w:rPr>
        <w:t xml:space="preserve"> Objetivo Estratégico II.1.5 Gestión de Servicio a las Familias, en el trimestre </w:t>
      </w:r>
      <w:r w:rsidR="00666BE0" w:rsidRPr="0089437F">
        <w:rPr>
          <w:b/>
          <w:sz w:val="24"/>
        </w:rPr>
        <w:t xml:space="preserve">ABRIL-JUNIO </w:t>
      </w:r>
      <w:r w:rsidR="00FA7062" w:rsidRPr="0089437F">
        <w:rPr>
          <w:sz w:val="24"/>
        </w:rPr>
        <w:t xml:space="preserve">se han ejecutado </w:t>
      </w:r>
      <w:r w:rsidR="00666BE0" w:rsidRPr="0089437F">
        <w:rPr>
          <w:sz w:val="24"/>
        </w:rPr>
        <w:t>dos (</w:t>
      </w:r>
      <w:r w:rsidR="00770285" w:rsidRPr="0089437F">
        <w:rPr>
          <w:sz w:val="24"/>
        </w:rPr>
        <w:t>2</w:t>
      </w:r>
      <w:r w:rsidR="00666BE0" w:rsidRPr="0089437F">
        <w:rPr>
          <w:sz w:val="24"/>
        </w:rPr>
        <w:t>)</w:t>
      </w:r>
      <w:r w:rsidR="00FA7062" w:rsidRPr="0089437F">
        <w:rPr>
          <w:sz w:val="24"/>
        </w:rPr>
        <w:t xml:space="preserve"> actividades, </w:t>
      </w:r>
      <w:r w:rsidRPr="0089437F">
        <w:rPr>
          <w:sz w:val="24"/>
        </w:rPr>
        <w:t>las cuales son</w:t>
      </w:r>
      <w:r w:rsidR="00FA7062" w:rsidRPr="0089437F">
        <w:rPr>
          <w:sz w:val="24"/>
        </w:rPr>
        <w:t>:</w:t>
      </w:r>
    </w:p>
    <w:tbl>
      <w:tblPr>
        <w:tblW w:w="8505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701"/>
      </w:tblGrid>
      <w:tr w:rsidR="00770285" w:rsidRPr="0089437F" w:rsidTr="0077028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89437F" w:rsidRDefault="00770285" w:rsidP="006D68F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89437F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Nombre de actividad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89437F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% Ejecución acum.</w:t>
            </w:r>
          </w:p>
        </w:tc>
      </w:tr>
      <w:tr w:rsidR="00770285" w:rsidRPr="0089437F" w:rsidTr="0077028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 xml:space="preserve">Habilitación del Sistema de Monitoreo Transaccional de los comercios adheridos a la RAS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33</w:t>
            </w:r>
          </w:p>
        </w:tc>
      </w:tr>
      <w:tr w:rsidR="00770285" w:rsidRPr="0089437F" w:rsidTr="0077028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 xml:space="preserve">Habilitación del Sistema de Información Geo-referenciado de comercios adheridos y preseleccionados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33</w:t>
            </w:r>
          </w:p>
        </w:tc>
      </w:tr>
    </w:tbl>
    <w:p w:rsidR="00FA7062" w:rsidRPr="0089437F" w:rsidRDefault="00FA7062" w:rsidP="00FA7062">
      <w:pPr>
        <w:pStyle w:val="Prrafodelista"/>
        <w:ind w:left="567" w:right="-523"/>
        <w:jc w:val="both"/>
        <w:rPr>
          <w:sz w:val="24"/>
        </w:rPr>
      </w:pPr>
    </w:p>
    <w:p w:rsidR="00FA7062" w:rsidRPr="0089437F" w:rsidRDefault="00FA7062" w:rsidP="00FA7062">
      <w:pPr>
        <w:pStyle w:val="Prrafodelista"/>
        <w:ind w:left="567" w:right="-523"/>
        <w:jc w:val="both"/>
        <w:rPr>
          <w:sz w:val="24"/>
        </w:rPr>
      </w:pPr>
      <w:r w:rsidRPr="0089437F">
        <w:rPr>
          <w:sz w:val="24"/>
        </w:rPr>
        <w:t xml:space="preserve">De las actividades correspondientes al Objetivo Estratégico II.2 Gestión de Servicio a las Familias, en el trimestre </w:t>
      </w:r>
      <w:r w:rsidR="00666BE0" w:rsidRPr="0089437F">
        <w:rPr>
          <w:b/>
          <w:sz w:val="24"/>
        </w:rPr>
        <w:t xml:space="preserve">ABRIL-JUNIO </w:t>
      </w:r>
      <w:r w:rsidRPr="0089437F">
        <w:rPr>
          <w:sz w:val="24"/>
        </w:rPr>
        <w:t xml:space="preserve">se han ejecutado </w:t>
      </w:r>
      <w:r w:rsidR="00666BE0" w:rsidRPr="0089437F">
        <w:rPr>
          <w:sz w:val="24"/>
        </w:rPr>
        <w:t>tres (</w:t>
      </w:r>
      <w:r w:rsidR="00770285" w:rsidRPr="0089437F">
        <w:rPr>
          <w:sz w:val="24"/>
        </w:rPr>
        <w:t>3</w:t>
      </w:r>
      <w:r w:rsidR="00666BE0" w:rsidRPr="0089437F">
        <w:rPr>
          <w:sz w:val="24"/>
        </w:rPr>
        <w:t>)</w:t>
      </w:r>
      <w:r w:rsidRPr="0089437F">
        <w:rPr>
          <w:sz w:val="24"/>
        </w:rPr>
        <w:t xml:space="preserve"> actividades</w:t>
      </w:r>
      <w:r w:rsidR="006D68F1" w:rsidRPr="0089437F">
        <w:rPr>
          <w:sz w:val="24"/>
        </w:rPr>
        <w:t>, entre la</w:t>
      </w:r>
      <w:r w:rsidRPr="0089437F">
        <w:rPr>
          <w:sz w:val="24"/>
        </w:rPr>
        <w:t>s que se destacan:</w:t>
      </w:r>
    </w:p>
    <w:tbl>
      <w:tblPr>
        <w:tblW w:w="8505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701"/>
      </w:tblGrid>
      <w:tr w:rsidR="00770285" w:rsidRPr="0089437F" w:rsidTr="006D68F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89437F" w:rsidRDefault="00770285" w:rsidP="006D68F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89437F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Nombre de actividad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89437F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% Ejecución acum.</w:t>
            </w:r>
          </w:p>
        </w:tc>
      </w:tr>
      <w:tr w:rsidR="00770285" w:rsidRPr="0089437F" w:rsidTr="006D68F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Entrega de 11,208 tarjetas por cambio de imagen IES BHD y ALNAP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100</w:t>
            </w:r>
          </w:p>
        </w:tc>
      </w:tr>
      <w:tr w:rsidR="00770285" w:rsidRPr="0089437F" w:rsidTr="006D68F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Entrega de 28,634 tarjetas a nuevos beneficiarios PROSOLI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100</w:t>
            </w:r>
          </w:p>
        </w:tc>
      </w:tr>
      <w:tr w:rsidR="00770285" w:rsidRPr="0089437F" w:rsidTr="006D68F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Entrega de 35,024 tarjetas por Vencimiento Mayo 2015 BHD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100</w:t>
            </w:r>
          </w:p>
        </w:tc>
      </w:tr>
    </w:tbl>
    <w:p w:rsidR="00FA7062" w:rsidRPr="0089437F" w:rsidRDefault="00FA7062" w:rsidP="00127AC1">
      <w:pPr>
        <w:pStyle w:val="Prrafodelista"/>
        <w:ind w:left="567" w:right="-523"/>
        <w:jc w:val="both"/>
        <w:rPr>
          <w:sz w:val="24"/>
        </w:rPr>
      </w:pPr>
    </w:p>
    <w:p w:rsidR="00FA7062" w:rsidRPr="0089437F" w:rsidRDefault="006D68F1" w:rsidP="00FA7062">
      <w:pPr>
        <w:pStyle w:val="Prrafodelista"/>
        <w:ind w:left="567" w:right="-523"/>
        <w:jc w:val="both"/>
        <w:rPr>
          <w:sz w:val="24"/>
        </w:rPr>
      </w:pPr>
      <w:r w:rsidRPr="0089437F">
        <w:rPr>
          <w:sz w:val="24"/>
        </w:rPr>
        <w:t>El proyecto que responde al Objetivo Estratégico II.2.2 Gestión de Servicio a las Familias,</w:t>
      </w:r>
      <w:r w:rsidR="00FA7062" w:rsidRPr="0089437F">
        <w:rPr>
          <w:sz w:val="24"/>
        </w:rPr>
        <w:t xml:space="preserve"> en el trimestre </w:t>
      </w:r>
      <w:r w:rsidR="00666BE0" w:rsidRPr="0089437F">
        <w:rPr>
          <w:b/>
          <w:sz w:val="24"/>
        </w:rPr>
        <w:t xml:space="preserve">ABRIL-JUNIO </w:t>
      </w:r>
      <w:r w:rsidRPr="0089437F">
        <w:rPr>
          <w:sz w:val="24"/>
        </w:rPr>
        <w:t>se ha ejecutado en:</w:t>
      </w:r>
    </w:p>
    <w:tbl>
      <w:tblPr>
        <w:tblW w:w="8505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701"/>
      </w:tblGrid>
      <w:tr w:rsidR="00770285" w:rsidRPr="0089437F" w:rsidTr="006D68F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89437F" w:rsidRDefault="00770285" w:rsidP="006D68F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89437F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Nombre de actividad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89437F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% Ejecución acum.</w:t>
            </w:r>
          </w:p>
        </w:tc>
      </w:tr>
      <w:tr w:rsidR="00770285" w:rsidRPr="0089437F" w:rsidTr="006D68F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Habilitación de consulta via SMS a nivel nacional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33</w:t>
            </w:r>
          </w:p>
        </w:tc>
      </w:tr>
    </w:tbl>
    <w:p w:rsidR="00FA7062" w:rsidRPr="0089437F" w:rsidRDefault="00FA7062" w:rsidP="00127AC1">
      <w:pPr>
        <w:pStyle w:val="Prrafodelista"/>
        <w:ind w:left="567" w:right="-523"/>
        <w:jc w:val="both"/>
        <w:rPr>
          <w:sz w:val="24"/>
        </w:rPr>
      </w:pPr>
    </w:p>
    <w:p w:rsidR="00263057" w:rsidRDefault="00263057">
      <w:pPr>
        <w:rPr>
          <w:sz w:val="24"/>
        </w:rPr>
      </w:pPr>
      <w:r>
        <w:rPr>
          <w:sz w:val="24"/>
        </w:rPr>
        <w:br w:type="page"/>
      </w:r>
    </w:p>
    <w:p w:rsidR="00770285" w:rsidRPr="0089437F" w:rsidRDefault="00770285" w:rsidP="00770285">
      <w:pPr>
        <w:pStyle w:val="Prrafodelista"/>
        <w:ind w:left="567" w:right="-523"/>
        <w:jc w:val="both"/>
        <w:rPr>
          <w:sz w:val="24"/>
        </w:rPr>
      </w:pPr>
      <w:r w:rsidRPr="0089437F">
        <w:rPr>
          <w:sz w:val="24"/>
        </w:rPr>
        <w:lastRenderedPageBreak/>
        <w:t xml:space="preserve">De </w:t>
      </w:r>
      <w:r w:rsidR="006D68F1" w:rsidRPr="0089437F">
        <w:rPr>
          <w:sz w:val="24"/>
        </w:rPr>
        <w:t>las metas</w:t>
      </w:r>
      <w:r w:rsidRPr="0089437F">
        <w:rPr>
          <w:sz w:val="24"/>
        </w:rPr>
        <w:t xml:space="preserve"> correspondientes al Objetivo Estratégico II.1 Gestión Eficiente y de Calidad, en el trimestre </w:t>
      </w:r>
      <w:r w:rsidR="00666BE0" w:rsidRPr="0089437F">
        <w:rPr>
          <w:b/>
          <w:sz w:val="24"/>
        </w:rPr>
        <w:t>JULIO-SEPTIEMBRE</w:t>
      </w:r>
      <w:r w:rsidR="00666BE0" w:rsidRPr="0089437F">
        <w:rPr>
          <w:sz w:val="24"/>
        </w:rPr>
        <w:t xml:space="preserve"> </w:t>
      </w:r>
      <w:r w:rsidRPr="0089437F">
        <w:rPr>
          <w:sz w:val="24"/>
        </w:rPr>
        <w:t xml:space="preserve">se han ejecutado </w:t>
      </w:r>
      <w:r w:rsidR="00666BE0" w:rsidRPr="0089437F">
        <w:rPr>
          <w:sz w:val="24"/>
        </w:rPr>
        <w:t>dieci</w:t>
      </w:r>
      <w:r w:rsidR="007A06DE" w:rsidRPr="0089437F">
        <w:rPr>
          <w:sz w:val="24"/>
        </w:rPr>
        <w:t>nueve</w:t>
      </w:r>
      <w:r w:rsidR="00666BE0" w:rsidRPr="0089437F">
        <w:rPr>
          <w:sz w:val="24"/>
        </w:rPr>
        <w:t xml:space="preserve"> (1</w:t>
      </w:r>
      <w:r w:rsidR="007A06DE" w:rsidRPr="0089437F">
        <w:rPr>
          <w:sz w:val="24"/>
        </w:rPr>
        <w:t>9</w:t>
      </w:r>
      <w:r w:rsidR="00666BE0" w:rsidRPr="0089437F">
        <w:rPr>
          <w:sz w:val="24"/>
        </w:rPr>
        <w:t>)</w:t>
      </w:r>
      <w:r w:rsidRPr="0089437F">
        <w:rPr>
          <w:b/>
          <w:color w:val="FF0000"/>
          <w:sz w:val="24"/>
        </w:rPr>
        <w:t xml:space="preserve"> </w:t>
      </w:r>
      <w:r w:rsidRPr="0089437F">
        <w:rPr>
          <w:sz w:val="24"/>
        </w:rPr>
        <w:t>actividades, las cuales son:</w:t>
      </w:r>
    </w:p>
    <w:tbl>
      <w:tblPr>
        <w:tblW w:w="8505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701"/>
      </w:tblGrid>
      <w:tr w:rsidR="00770285" w:rsidRPr="0089437F" w:rsidTr="0077028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Nombre de actividad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89437F" w:rsidRDefault="00770285" w:rsidP="0077028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% Ejecución acum.</w:t>
            </w:r>
          </w:p>
        </w:tc>
      </w:tr>
      <w:tr w:rsidR="00F41CEA" w:rsidRPr="0089437F" w:rsidTr="007E19E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rPr>
                <w:sz w:val="24"/>
              </w:rPr>
            </w:pPr>
            <w:r w:rsidRPr="0089437F">
              <w:rPr>
                <w:sz w:val="24"/>
              </w:rPr>
              <w:t>Apoyo a la creatividad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75</w:t>
            </w:r>
          </w:p>
        </w:tc>
      </w:tr>
      <w:tr w:rsidR="00F41CEA" w:rsidRPr="0089437F" w:rsidTr="007E19E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rPr>
                <w:sz w:val="24"/>
              </w:rPr>
            </w:pPr>
            <w:r w:rsidRPr="0089437F">
              <w:rPr>
                <w:sz w:val="24"/>
              </w:rPr>
              <w:t>Capacitar y entrenar al personal de la ADESS para la mejora de la gestión de la ADESS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75</w:t>
            </w:r>
          </w:p>
        </w:tc>
      </w:tr>
      <w:tr w:rsidR="00F41CEA" w:rsidRPr="0089437F" w:rsidTr="007E19E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rPr>
                <w:sz w:val="24"/>
              </w:rPr>
            </w:pPr>
            <w:r w:rsidRPr="0089437F">
              <w:rPr>
                <w:sz w:val="24"/>
              </w:rPr>
              <w:t>Monitorear la eficacia y la calidad de los servicios ofrecidos a los beneficiarios por la Red de Abastecimiento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75</w:t>
            </w:r>
          </w:p>
        </w:tc>
      </w:tr>
      <w:tr w:rsidR="00F41CEA" w:rsidRPr="0089437F" w:rsidTr="007E19E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rPr>
                <w:sz w:val="24"/>
              </w:rPr>
            </w:pPr>
            <w:r w:rsidRPr="0089437F">
              <w:rPr>
                <w:sz w:val="24"/>
              </w:rPr>
              <w:t>Monitorear el cumplimiento de los Acuerdos de Servicios de las Entidades Financieras participantes en el SPSS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75</w:t>
            </w:r>
          </w:p>
        </w:tc>
      </w:tr>
      <w:tr w:rsidR="00F41CEA" w:rsidRPr="0089437F" w:rsidTr="007E19E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rPr>
                <w:sz w:val="24"/>
              </w:rPr>
            </w:pPr>
            <w:r w:rsidRPr="0089437F">
              <w:rPr>
                <w:sz w:val="24"/>
              </w:rPr>
              <w:t>Remodelaci</w:t>
            </w:r>
            <w:r w:rsidR="00683E19" w:rsidRPr="0089437F">
              <w:rPr>
                <w:sz w:val="24"/>
              </w:rPr>
              <w:t>ón Organizacional de la Entidad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66</w:t>
            </w:r>
          </w:p>
        </w:tc>
      </w:tr>
      <w:tr w:rsidR="00F41CEA" w:rsidRPr="0089437F" w:rsidTr="007E19E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CEA" w:rsidRPr="0089437F" w:rsidRDefault="00F41CEA" w:rsidP="00F41CEA">
            <w:pPr>
              <w:rPr>
                <w:sz w:val="24"/>
              </w:rPr>
            </w:pPr>
            <w:r w:rsidRPr="0089437F">
              <w:rPr>
                <w:sz w:val="24"/>
              </w:rPr>
              <w:t>Normalización de la Delegación Prov. Peravia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F41CEA" w:rsidRPr="0089437F" w:rsidTr="007E19E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CEA" w:rsidRPr="0089437F" w:rsidRDefault="00F41CEA" w:rsidP="00F41CEA">
            <w:pPr>
              <w:rPr>
                <w:sz w:val="24"/>
              </w:rPr>
            </w:pPr>
            <w:r w:rsidRPr="0089437F">
              <w:rPr>
                <w:sz w:val="24"/>
              </w:rPr>
              <w:t>Normalización de la Delegación Prov. Monseñor Nouel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F41CEA" w:rsidRPr="0089437F" w:rsidTr="007E19E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rPr>
                <w:sz w:val="24"/>
                <w:lang w:val="es-ES"/>
              </w:rPr>
            </w:pPr>
            <w:r w:rsidRPr="0089437F">
              <w:rPr>
                <w:sz w:val="24"/>
                <w:lang w:val="es-ES"/>
              </w:rPr>
              <w:t>Remodelación y adecuación de un Punto Solidario en el 1er piso de la ADESS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F41CEA" w:rsidRPr="0089437F" w:rsidTr="007E19E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rPr>
                <w:sz w:val="24"/>
              </w:rPr>
            </w:pPr>
            <w:r w:rsidRPr="0089437F">
              <w:rPr>
                <w:sz w:val="24"/>
              </w:rPr>
              <w:t>Habilitación del plan de Continuidad de Negocios como medida de Contingencia en la ADESS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75</w:t>
            </w:r>
          </w:p>
        </w:tc>
      </w:tr>
      <w:tr w:rsidR="00F41CEA" w:rsidRPr="0089437F" w:rsidTr="007E19E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rPr>
                <w:sz w:val="24"/>
              </w:rPr>
            </w:pPr>
            <w:r w:rsidRPr="0089437F">
              <w:rPr>
                <w:sz w:val="24"/>
              </w:rPr>
              <w:t>Habilitación del Sistema de Gestión de Seguridad de la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75</w:t>
            </w:r>
          </w:p>
        </w:tc>
      </w:tr>
      <w:tr w:rsidR="00F41CEA" w:rsidRPr="0089437F" w:rsidTr="007E19E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rPr>
                <w:sz w:val="24"/>
              </w:rPr>
            </w:pPr>
            <w:r w:rsidRPr="0089437F">
              <w:rPr>
                <w:sz w:val="24"/>
              </w:rPr>
              <w:t>Fortalecimiento de la Infraestructura Tecnológica para optimización de los Servicios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75</w:t>
            </w:r>
          </w:p>
        </w:tc>
      </w:tr>
      <w:tr w:rsidR="00F41CEA" w:rsidRPr="0089437F" w:rsidTr="007E19E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rPr>
                <w:sz w:val="24"/>
              </w:rPr>
            </w:pPr>
            <w:r w:rsidRPr="0089437F">
              <w:rPr>
                <w:sz w:val="24"/>
              </w:rPr>
              <w:t>Mejoramiento de la solución de telefonía ADESS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75</w:t>
            </w:r>
          </w:p>
        </w:tc>
      </w:tr>
      <w:tr w:rsidR="00F41CEA" w:rsidRPr="0089437F" w:rsidTr="007E19E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rPr>
                <w:sz w:val="24"/>
              </w:rPr>
            </w:pPr>
            <w:r w:rsidRPr="0089437F">
              <w:rPr>
                <w:sz w:val="24"/>
              </w:rPr>
              <w:t>Construcción de estructura que soporte el centro de atención al beneficiario tarjetahabiente (BTH)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75</w:t>
            </w:r>
          </w:p>
        </w:tc>
      </w:tr>
      <w:tr w:rsidR="00F41CEA" w:rsidRPr="0089437F" w:rsidTr="007E19E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rPr>
                <w:sz w:val="24"/>
              </w:rPr>
            </w:pPr>
            <w:r w:rsidRPr="0089437F">
              <w:rPr>
                <w:sz w:val="24"/>
              </w:rPr>
              <w:t>Mejoramiento de los servicios de tecnología, según ITIL versión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75</w:t>
            </w:r>
          </w:p>
        </w:tc>
      </w:tr>
      <w:tr w:rsidR="007A06DE" w:rsidRPr="0089437F" w:rsidTr="007E19E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6DE" w:rsidRPr="0089437F" w:rsidRDefault="007A06DE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6DE" w:rsidRPr="0089437F" w:rsidRDefault="007A06DE" w:rsidP="00F41CEA">
            <w:pPr>
              <w:spacing w:after="0" w:line="240" w:lineRule="auto"/>
              <w:rPr>
                <w:sz w:val="24"/>
              </w:rPr>
            </w:pPr>
            <w:r w:rsidRPr="0089437F">
              <w:rPr>
                <w:sz w:val="24"/>
              </w:rPr>
              <w:t>Implementación Aplicación de Reclamaciones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6DE" w:rsidRPr="0089437F" w:rsidRDefault="007A06DE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  <w:tr w:rsidR="00F41CEA" w:rsidRPr="0089437F" w:rsidTr="007E19E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7A06DE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</w:t>
            </w:r>
            <w:r w:rsidR="007A06DE" w:rsidRPr="0089437F">
              <w:rPr>
                <w:sz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7A06DE" w:rsidP="00F41CEA">
            <w:pPr>
              <w:spacing w:after="0" w:line="240" w:lineRule="auto"/>
              <w:rPr>
                <w:sz w:val="24"/>
              </w:rPr>
            </w:pPr>
            <w:r w:rsidRPr="0089437F">
              <w:rPr>
                <w:sz w:val="24"/>
              </w:rPr>
              <w:t xml:space="preserve">Implementación Aplicación de Transparencia y Reintegros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1CEA" w:rsidRPr="0089437F" w:rsidRDefault="007A06DE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75</w:t>
            </w:r>
          </w:p>
        </w:tc>
      </w:tr>
      <w:tr w:rsidR="00F41CEA" w:rsidRPr="0089437F" w:rsidTr="007E19E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7A06DE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</w:t>
            </w:r>
            <w:r w:rsidR="007A06DE" w:rsidRPr="0089437F">
              <w:rPr>
                <w:sz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rPr>
                <w:sz w:val="24"/>
              </w:rPr>
            </w:pPr>
            <w:r w:rsidRPr="0089437F">
              <w:rPr>
                <w:sz w:val="24"/>
              </w:rPr>
              <w:t xml:space="preserve">"Boletines Orientativos" Se publicarán boletines orientativos relacionado al ahorro de energía y medio ambiente en general.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66</w:t>
            </w:r>
          </w:p>
        </w:tc>
      </w:tr>
      <w:tr w:rsidR="00F41CEA" w:rsidRPr="0089437F" w:rsidTr="007E19E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7A06DE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</w:t>
            </w:r>
            <w:r w:rsidR="007A06DE" w:rsidRPr="0089437F">
              <w:rPr>
                <w:sz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rPr>
                <w:sz w:val="24"/>
              </w:rPr>
            </w:pPr>
            <w:r w:rsidRPr="0089437F">
              <w:rPr>
                <w:sz w:val="24"/>
              </w:rPr>
              <w:t xml:space="preserve">"Capacitaciones Responsabilidad Social”. Se realizarán capacitaciones al personal en seguridad Industrial y Primeros Auxilios.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100</w:t>
            </w:r>
          </w:p>
        </w:tc>
      </w:tr>
      <w:tr w:rsidR="00F41CEA" w:rsidRPr="0089437F" w:rsidTr="007E19ED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CEA" w:rsidRPr="0089437F" w:rsidRDefault="00F41CEA" w:rsidP="007A06DE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</w:t>
            </w:r>
            <w:r w:rsidR="007A06DE" w:rsidRPr="0089437F">
              <w:rPr>
                <w:sz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rPr>
                <w:sz w:val="24"/>
              </w:rPr>
            </w:pPr>
            <w:r w:rsidRPr="0089437F">
              <w:rPr>
                <w:sz w:val="24"/>
              </w:rPr>
              <w:t xml:space="preserve">Apoyar en la Implementación del Sistema de Gestión de la Calidad y CAF/ 9001-2008. Dar apoyo sobre las actividades y capacitaciones  realizadas con el personal sobre ISO 9001-2008 y CAF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CEA" w:rsidRPr="0089437F" w:rsidRDefault="00F41CEA" w:rsidP="00F41CEA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75</w:t>
            </w:r>
          </w:p>
        </w:tc>
      </w:tr>
    </w:tbl>
    <w:p w:rsidR="00770285" w:rsidRPr="0089437F" w:rsidRDefault="00770285" w:rsidP="00127AC1">
      <w:pPr>
        <w:pStyle w:val="Prrafodelista"/>
        <w:ind w:left="567" w:right="-523"/>
        <w:jc w:val="both"/>
        <w:rPr>
          <w:sz w:val="24"/>
        </w:rPr>
      </w:pPr>
    </w:p>
    <w:p w:rsidR="006D68F1" w:rsidRPr="0089437F" w:rsidRDefault="006D68F1" w:rsidP="006D68F1">
      <w:pPr>
        <w:pStyle w:val="Prrafodelista"/>
        <w:ind w:left="567" w:right="-523"/>
        <w:jc w:val="both"/>
        <w:rPr>
          <w:sz w:val="24"/>
        </w:rPr>
      </w:pPr>
      <w:r w:rsidRPr="0089437F">
        <w:rPr>
          <w:sz w:val="24"/>
        </w:rPr>
        <w:t xml:space="preserve">Dentro de las metas correspondientes al Objetivo Estratégico II.1.5 Gestión de Servicio a las Familias, en el trimestre </w:t>
      </w:r>
      <w:r w:rsidR="00666BE0" w:rsidRPr="0089437F">
        <w:rPr>
          <w:b/>
          <w:sz w:val="24"/>
        </w:rPr>
        <w:t>JULIO-SEPTIEMBRE</w:t>
      </w:r>
      <w:r w:rsidR="00666BE0" w:rsidRPr="0089437F">
        <w:rPr>
          <w:sz w:val="24"/>
        </w:rPr>
        <w:t xml:space="preserve"> </w:t>
      </w:r>
      <w:r w:rsidRPr="0089437F">
        <w:rPr>
          <w:sz w:val="24"/>
        </w:rPr>
        <w:t>se han ejecutado 3</w:t>
      </w:r>
      <w:r w:rsidRPr="0089437F">
        <w:rPr>
          <w:b/>
          <w:sz w:val="24"/>
        </w:rPr>
        <w:t xml:space="preserve"> </w:t>
      </w:r>
      <w:r w:rsidRPr="0089437F">
        <w:rPr>
          <w:sz w:val="24"/>
        </w:rPr>
        <w:t>actividades, entre las que se destacan:</w:t>
      </w:r>
    </w:p>
    <w:tbl>
      <w:tblPr>
        <w:tblW w:w="8505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701"/>
      </w:tblGrid>
      <w:tr w:rsidR="006D68F1" w:rsidRPr="0089437F" w:rsidTr="006D68F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Nombre de actividad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% Ejecución acum.</w:t>
            </w:r>
          </w:p>
        </w:tc>
      </w:tr>
      <w:tr w:rsidR="006D68F1" w:rsidRPr="0089437F" w:rsidTr="006D68F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 xml:space="preserve">Habilitación del Sistema de Monitoreo Transaccional de los comercios adheridos a la RAS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66</w:t>
            </w:r>
          </w:p>
        </w:tc>
      </w:tr>
      <w:tr w:rsidR="006D68F1" w:rsidRPr="0089437F" w:rsidTr="006D68F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 xml:space="preserve">Habilitación del Sistema de Información Geo-referenciado de comercios adheridos y preseleccionados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66</w:t>
            </w:r>
          </w:p>
        </w:tc>
      </w:tr>
      <w:tr w:rsidR="006D68F1" w:rsidRPr="0089437F" w:rsidTr="006D68F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 xml:space="preserve">Ampliación de la Red de Abastecimiento Social (RAS) a nivel nacional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50</w:t>
            </w:r>
          </w:p>
        </w:tc>
      </w:tr>
    </w:tbl>
    <w:p w:rsidR="006D68F1" w:rsidRPr="0089437F" w:rsidRDefault="006D68F1" w:rsidP="00127AC1">
      <w:pPr>
        <w:pStyle w:val="Prrafodelista"/>
        <w:ind w:left="567" w:right="-523"/>
        <w:jc w:val="both"/>
        <w:rPr>
          <w:sz w:val="24"/>
        </w:rPr>
      </w:pPr>
    </w:p>
    <w:p w:rsidR="006D68F1" w:rsidRPr="0089437F" w:rsidRDefault="006D68F1" w:rsidP="006D68F1">
      <w:pPr>
        <w:pStyle w:val="Prrafodelista"/>
        <w:ind w:left="567" w:right="-523"/>
        <w:jc w:val="both"/>
        <w:rPr>
          <w:sz w:val="24"/>
        </w:rPr>
      </w:pPr>
      <w:r w:rsidRPr="0089437F">
        <w:rPr>
          <w:sz w:val="24"/>
        </w:rPr>
        <w:t xml:space="preserve">El proyecto que responde al Objetivo Estratégico II.2.2 Gestión de Servicio a las Familias, en el trimestre </w:t>
      </w:r>
      <w:r w:rsidR="00666BE0" w:rsidRPr="0089437F">
        <w:rPr>
          <w:b/>
          <w:sz w:val="24"/>
        </w:rPr>
        <w:t>JULIO-SEPTIEMBRE</w:t>
      </w:r>
      <w:r w:rsidR="00666BE0" w:rsidRPr="0089437F">
        <w:rPr>
          <w:sz w:val="24"/>
        </w:rPr>
        <w:t xml:space="preserve"> </w:t>
      </w:r>
      <w:r w:rsidRPr="0089437F">
        <w:rPr>
          <w:sz w:val="24"/>
        </w:rPr>
        <w:t>se ha ejecutado en:</w:t>
      </w:r>
    </w:p>
    <w:tbl>
      <w:tblPr>
        <w:tblW w:w="8505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701"/>
      </w:tblGrid>
      <w:tr w:rsidR="006D68F1" w:rsidRPr="0089437F" w:rsidTr="006D68F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Nombre de proyecto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437F">
              <w:rPr>
                <w:b/>
                <w:sz w:val="24"/>
              </w:rPr>
              <w:t>% Ejecución acum.</w:t>
            </w:r>
          </w:p>
        </w:tc>
      </w:tr>
      <w:tr w:rsidR="006D68F1" w:rsidRPr="0089437F" w:rsidTr="006D68F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both"/>
              <w:rPr>
                <w:sz w:val="24"/>
              </w:rPr>
            </w:pPr>
            <w:r w:rsidRPr="0089437F">
              <w:rPr>
                <w:sz w:val="24"/>
              </w:rPr>
              <w:t>Habilitación de consulta via SMS a nivel nacional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1" w:rsidRPr="0089437F" w:rsidRDefault="006D68F1" w:rsidP="006D68F1">
            <w:pPr>
              <w:spacing w:after="0" w:line="240" w:lineRule="auto"/>
              <w:jc w:val="center"/>
              <w:rPr>
                <w:sz w:val="24"/>
              </w:rPr>
            </w:pPr>
            <w:r w:rsidRPr="0089437F">
              <w:rPr>
                <w:sz w:val="24"/>
              </w:rPr>
              <w:t>66</w:t>
            </w:r>
          </w:p>
        </w:tc>
      </w:tr>
    </w:tbl>
    <w:p w:rsidR="006D68F1" w:rsidRPr="0089437F" w:rsidRDefault="006D68F1" w:rsidP="006D68F1">
      <w:pPr>
        <w:pStyle w:val="Prrafodelista"/>
        <w:ind w:left="567" w:right="-523"/>
        <w:jc w:val="both"/>
        <w:rPr>
          <w:sz w:val="24"/>
        </w:rPr>
      </w:pPr>
    </w:p>
    <w:p w:rsidR="006D68F1" w:rsidRPr="0089437F" w:rsidRDefault="006D68F1" w:rsidP="006D68F1">
      <w:pPr>
        <w:pStyle w:val="Prrafodelista"/>
        <w:ind w:left="567" w:right="-523"/>
        <w:jc w:val="both"/>
        <w:rPr>
          <w:sz w:val="24"/>
        </w:rPr>
      </w:pPr>
      <w:r w:rsidRPr="0089437F">
        <w:rPr>
          <w:sz w:val="24"/>
        </w:rPr>
        <w:t xml:space="preserve">Referente al Objetivo Estratégico II.2 Gestión de Servicio a las Familias, en el trimestre </w:t>
      </w:r>
      <w:r w:rsidR="00666BE0" w:rsidRPr="0089437F">
        <w:rPr>
          <w:b/>
          <w:sz w:val="24"/>
        </w:rPr>
        <w:t>JULIO-SEPTIEMBRE</w:t>
      </w:r>
      <w:r w:rsidR="00666BE0" w:rsidRPr="0089437F">
        <w:rPr>
          <w:sz w:val="24"/>
        </w:rPr>
        <w:t xml:space="preserve"> </w:t>
      </w:r>
      <w:r w:rsidRPr="0089437F">
        <w:rPr>
          <w:sz w:val="24"/>
        </w:rPr>
        <w:t xml:space="preserve">no se planificaron actividades ha desarrollar. </w:t>
      </w:r>
    </w:p>
    <w:p w:rsidR="0089437F" w:rsidRPr="0089437F" w:rsidRDefault="0089437F" w:rsidP="0089437F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89437F">
        <w:rPr>
          <w:rFonts w:cs="Tahoma"/>
          <w:sz w:val="24"/>
        </w:rPr>
        <w:t>Adjunto la matriz FO-DPD-03 con los avances y ajustes del trimestre.</w:t>
      </w:r>
    </w:p>
    <w:p w:rsidR="006D68F1" w:rsidRDefault="006D68F1" w:rsidP="00127AC1">
      <w:pPr>
        <w:pStyle w:val="Prrafodelista"/>
        <w:ind w:left="567" w:right="-523"/>
        <w:jc w:val="both"/>
        <w:rPr>
          <w:sz w:val="24"/>
        </w:rPr>
      </w:pPr>
    </w:p>
    <w:p w:rsidR="005544AE" w:rsidRPr="0089437F" w:rsidRDefault="005544AE" w:rsidP="00127AC1">
      <w:pPr>
        <w:pStyle w:val="Prrafodelista"/>
        <w:ind w:left="567" w:right="-523"/>
        <w:jc w:val="both"/>
        <w:rPr>
          <w:sz w:val="24"/>
        </w:rPr>
      </w:pPr>
    </w:p>
    <w:sectPr w:rsidR="005544AE" w:rsidRPr="0089437F" w:rsidSect="00BD7C0C">
      <w:footerReference w:type="default" r:id="rId8"/>
      <w:pgSz w:w="12240" w:h="15840" w:code="1"/>
      <w:pgMar w:top="1440" w:right="1797" w:bottom="1440" w:left="993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6C" w:rsidRDefault="000B446C">
      <w:pPr>
        <w:spacing w:after="0" w:line="240" w:lineRule="auto"/>
      </w:pPr>
      <w:r>
        <w:separator/>
      </w:r>
    </w:p>
  </w:endnote>
  <w:endnote w:type="continuationSeparator" w:id="0">
    <w:p w:rsidR="000B446C" w:rsidRDefault="000B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6530"/>
      <w:docPartObj>
        <w:docPartGallery w:val="Page Numbers (Bottom of Page)"/>
        <w:docPartUnique/>
      </w:docPartObj>
    </w:sdtPr>
    <w:sdtEndPr/>
    <w:sdtContent>
      <w:p w:rsidR="006D68F1" w:rsidRDefault="006D68F1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7ADE737" wp14:editId="058BD558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68F1" w:rsidRDefault="006D68F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B6E8E" w:rsidRPr="00DB6E8E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ADE737" id="Grupo 5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kiuN&#10;22oDAAAd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5l8UA&#10;AADaAAAADwAAAGRycy9kb3ducmV2LnhtbESPQWvCQBSE7wX/w/KE3urGHmxNXUVihUIvVkXb2yP7&#10;mo3Jvg3ZbRL/fbcg9DjMzDfMYjXYWnTU+tKxgukkAUGcO11yoeB42D48g/ABWWPtmBRcycNqObpb&#10;YKpdzx/U7UMhIoR9igpMCE0qpc8NWfQT1xBH79u1FkOUbSF1i32E21o+JslMWiw5LhhsKDOUV/sf&#10;q6Aym8vre3XNPvnUZedd6Odf551S9+Nh/QIi0BD+w7f2m1bwBH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rmXxQAAANoAAAAPAAAAAAAAAAAAAAAAAJgCAABkcnMv&#10;ZG93bnJldi54bWxQSwUGAAAAAAQABAD1AAAAigMAAAAA&#10;" filled="f" strokecolor="#7f7f7f">
                    <v:textbox>
                      <w:txbxContent>
                        <w:p w:rsidR="006D68F1" w:rsidRDefault="006D68F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B6E8E" w:rsidRPr="00DB6E8E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>
          <w:t>Informe de seguimiento y control POA (</w:t>
        </w:r>
        <w:r w:rsidR="004E774A">
          <w:t>octu</w:t>
        </w:r>
        <w:r>
          <w:t>bre 2015)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6C" w:rsidRDefault="000B446C">
      <w:pPr>
        <w:spacing w:after="0" w:line="240" w:lineRule="auto"/>
      </w:pPr>
      <w:r>
        <w:separator/>
      </w:r>
    </w:p>
  </w:footnote>
  <w:footnote w:type="continuationSeparator" w:id="0">
    <w:p w:rsidR="000B446C" w:rsidRDefault="000B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F5B82C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BBD"/>
      </v:shape>
    </w:pict>
  </w:numPicBullet>
  <w:abstractNum w:abstractNumId="0" w15:restartNumberingAfterBreak="0">
    <w:nsid w:val="013F7F6F"/>
    <w:multiLevelType w:val="hybridMultilevel"/>
    <w:tmpl w:val="45287F5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9A4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F065C"/>
    <w:multiLevelType w:val="hybridMultilevel"/>
    <w:tmpl w:val="068C80A6"/>
    <w:lvl w:ilvl="0" w:tplc="A6D82A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76DF9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02514B1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553F66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1664CB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BF78C8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CA1068"/>
    <w:multiLevelType w:val="hybridMultilevel"/>
    <w:tmpl w:val="030ACDF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DD10DC3"/>
    <w:multiLevelType w:val="hybridMultilevel"/>
    <w:tmpl w:val="030ACDF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0"/>
    <w:rsid w:val="000234CC"/>
    <w:rsid w:val="00055E2C"/>
    <w:rsid w:val="000B446C"/>
    <w:rsid w:val="000B6654"/>
    <w:rsid w:val="00127AC1"/>
    <w:rsid w:val="001B0481"/>
    <w:rsid w:val="001E0BFA"/>
    <w:rsid w:val="00211F47"/>
    <w:rsid w:val="00256166"/>
    <w:rsid w:val="00263057"/>
    <w:rsid w:val="002B544E"/>
    <w:rsid w:val="00333966"/>
    <w:rsid w:val="003410F8"/>
    <w:rsid w:val="004A43F4"/>
    <w:rsid w:val="004D58B1"/>
    <w:rsid w:val="004E774A"/>
    <w:rsid w:val="004F6029"/>
    <w:rsid w:val="00511D70"/>
    <w:rsid w:val="005333F7"/>
    <w:rsid w:val="0053457E"/>
    <w:rsid w:val="005544AE"/>
    <w:rsid w:val="005736BC"/>
    <w:rsid w:val="0058207B"/>
    <w:rsid w:val="005E5651"/>
    <w:rsid w:val="005F649C"/>
    <w:rsid w:val="0064540A"/>
    <w:rsid w:val="00657963"/>
    <w:rsid w:val="00660DEF"/>
    <w:rsid w:val="00661CB7"/>
    <w:rsid w:val="00665807"/>
    <w:rsid w:val="00666BE0"/>
    <w:rsid w:val="00683E19"/>
    <w:rsid w:val="006D68F1"/>
    <w:rsid w:val="006F6B69"/>
    <w:rsid w:val="0074303B"/>
    <w:rsid w:val="007568FA"/>
    <w:rsid w:val="00761E82"/>
    <w:rsid w:val="00770285"/>
    <w:rsid w:val="007853B9"/>
    <w:rsid w:val="007A06DE"/>
    <w:rsid w:val="00834A90"/>
    <w:rsid w:val="00875391"/>
    <w:rsid w:val="0089437F"/>
    <w:rsid w:val="008A63F0"/>
    <w:rsid w:val="0090439A"/>
    <w:rsid w:val="009241B0"/>
    <w:rsid w:val="0092689A"/>
    <w:rsid w:val="0097771C"/>
    <w:rsid w:val="00994FE3"/>
    <w:rsid w:val="009B3312"/>
    <w:rsid w:val="009F1A88"/>
    <w:rsid w:val="00A27189"/>
    <w:rsid w:val="00A7701A"/>
    <w:rsid w:val="00AC466C"/>
    <w:rsid w:val="00AC6EA3"/>
    <w:rsid w:val="00B11DA0"/>
    <w:rsid w:val="00B24252"/>
    <w:rsid w:val="00BB2DBF"/>
    <w:rsid w:val="00BD7C0C"/>
    <w:rsid w:val="00C835DD"/>
    <w:rsid w:val="00D03237"/>
    <w:rsid w:val="00D14A60"/>
    <w:rsid w:val="00D372DF"/>
    <w:rsid w:val="00D96B69"/>
    <w:rsid w:val="00DA5B73"/>
    <w:rsid w:val="00DB6E8E"/>
    <w:rsid w:val="00DE4E4D"/>
    <w:rsid w:val="00E20968"/>
    <w:rsid w:val="00EA5811"/>
    <w:rsid w:val="00F076A7"/>
    <w:rsid w:val="00F14B86"/>
    <w:rsid w:val="00F41CEA"/>
    <w:rsid w:val="00F529A2"/>
    <w:rsid w:val="00F533BE"/>
    <w:rsid w:val="00FA7062"/>
    <w:rsid w:val="00FB352A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9856D9-0121-4B21-A998-025BE919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834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A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834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A90"/>
    <w:rPr>
      <w:lang w:val="es-DO"/>
    </w:rPr>
  </w:style>
  <w:style w:type="paragraph" w:styleId="TtulodeTDC">
    <w:name w:val="TOC Heading"/>
    <w:basedOn w:val="Ttulo1"/>
    <w:next w:val="Normal"/>
    <w:uiPriority w:val="39"/>
    <w:unhideWhenUsed/>
    <w:qFormat/>
    <w:rsid w:val="00834A90"/>
    <w:pPr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34A9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34A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4A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6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8F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F47"/>
    <w:rPr>
      <w:rFonts w:ascii="Segoe UI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2375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Radhames Vasquez Tiburcio</dc:creator>
  <cp:keywords/>
  <dc:description/>
  <cp:lastModifiedBy>Luis Radhames Vasquez Tiburcio</cp:lastModifiedBy>
  <cp:revision>2</cp:revision>
  <cp:lastPrinted>2015-11-10T14:47:00Z</cp:lastPrinted>
  <dcterms:created xsi:type="dcterms:W3CDTF">2017-06-12T18:05:00Z</dcterms:created>
  <dcterms:modified xsi:type="dcterms:W3CDTF">2017-06-12T18:05:00Z</dcterms:modified>
</cp:coreProperties>
</file>